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lang w:eastAsia="zh-CN"/>
        </w:rPr>
        <w:t>7</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lang w:eastAsia="zh-CN"/>
        </w:rPr>
        <w:t>9</w:t>
      </w:r>
      <w:r>
        <w:rPr>
          <w:rFonts w:hint="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eastAsia="zh-CN"/>
        </w:rPr>
        <w:t>11</w:t>
      </w:r>
      <w:r>
        <w:rPr>
          <w:rFonts w:hint="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lang w:eastAsia="zh-CN"/>
        </w:rPr>
        <w:t>12</w:t>
      </w:r>
      <w:r>
        <w:rPr>
          <w:rFonts w:hint="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lang w:eastAsia="zh-CN"/>
        </w:rPr>
        <w:t>15</w:t>
      </w:r>
      <w:r>
        <w:rPr>
          <w:rFonts w:hint="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rPr>
          <w:rFonts w:hint="eastAsia"/>
          <w:lang w:eastAsia="zh-CN"/>
        </w:rPr>
        <w:t>16</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rPr>
          <w:rFonts w:hint="eastAsia"/>
          <w:lang w:eastAsia="zh-CN"/>
        </w:rPr>
        <w:t>17</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rPr>
          <w:rFonts w:hint="eastAsia"/>
        </w:rPr>
        <w:t>五、预算绩效信息</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rPr>
          <w:rFonts w:hint="eastAsia"/>
        </w:rPr>
        <w:t>七、国有资产信息</w:t>
      </w:r>
      <w:r>
        <w:tab/>
      </w:r>
      <w:r>
        <w:rPr>
          <w:rFonts w:hint="eastAsia"/>
          <w:lang w:eastAsia="zh-CN"/>
        </w:rPr>
        <w:t>27</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rPr>
          <w:rFonts w:hint="eastAsia"/>
        </w:rPr>
        <w:t>八、名词解释</w:t>
      </w:r>
      <w:r>
        <w:tab/>
      </w:r>
      <w:r>
        <w:rPr>
          <w:rFonts w:hint="eastAsia"/>
          <w:lang w:eastAsia="zh-CN"/>
        </w:rPr>
        <w:t>28</w:t>
      </w:r>
      <w:r>
        <w:rPr>
          <w:rFonts w:hint="eastAsia"/>
          <w:lang w:eastAsia="zh-CN"/>
        </w:rPr>
        <w:fldChar w:fldCharType="end"/>
      </w:r>
    </w:p>
    <w:p>
      <w:pPr>
        <w:pStyle w:val="5"/>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rPr>
          <w:rFonts w:hint="eastAsia"/>
          <w:lang w:eastAsia="zh-CN"/>
        </w:rPr>
        <w:t>29</w:t>
      </w:r>
      <w:r>
        <w:rPr>
          <w:rFonts w:hint="eastAsia"/>
          <w:lang w:eastAsia="zh-CN"/>
        </w:rPr>
        <w:fldChar w:fldCharType="end"/>
      </w:r>
    </w:p>
    <w:p>
      <w:pPr>
        <w:rPr>
          <w:lang w:eastAsia="zh-CN"/>
        </w:rPr>
        <w:sectPr>
          <w:footerReference r:id="rId3" w:type="default"/>
          <w:footerReference r:id="rId4" w:type="even"/>
          <w:pgSz w:w="16840" w:h="11900" w:orient="landscape"/>
          <w:pgMar w:top="1587" w:right="1134" w:bottom="1361" w:left="1134" w:header="720" w:footer="720" w:gutter="0"/>
          <w:pgNumType w:start="1"/>
          <w:cols w:space="720" w:num="1"/>
        </w:sectPr>
      </w:pPr>
      <w:r>
        <w:fldChar w:fldCharType="end"/>
      </w:r>
    </w:p>
    <w:p>
      <w:pPr>
        <w:rPr>
          <w:lang w:eastAsia="zh-CN"/>
        </w:rPr>
      </w:pPr>
    </w:p>
    <w:p>
      <w:pPr>
        <w:jc w:val="center"/>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pPr>
            <w:r>
              <w:t>522.72</w:t>
            </w:r>
          </w:p>
        </w:tc>
        <w:tc>
          <w:tcPr>
            <w:tcW w:w="4535" w:type="dxa"/>
            <w:vAlign w:val="center"/>
          </w:tcPr>
          <w:p>
            <w:pPr>
              <w:pStyle w:val="16"/>
            </w:pPr>
            <w:r>
              <w:rPr>
                <w:rFonts w:hint="eastAsia"/>
              </w:rPr>
              <w:t>一、一般公共服务支出</w:t>
            </w:r>
          </w:p>
        </w:tc>
        <w:tc>
          <w:tcPr>
            <w:tcW w:w="2126" w:type="dxa"/>
            <w:vAlign w:val="center"/>
          </w:tcPr>
          <w:p>
            <w:pPr>
              <w:pStyle w:val="15"/>
            </w:pPr>
            <w:r>
              <w:t>398.70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70.53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pPr>
            <w:r>
              <w:t>522.72</w:t>
            </w:r>
          </w:p>
        </w:tc>
        <w:tc>
          <w:tcPr>
            <w:tcW w:w="4535" w:type="dxa"/>
            <w:vAlign w:val="center"/>
          </w:tcPr>
          <w:p>
            <w:pPr>
              <w:pStyle w:val="18"/>
            </w:pPr>
            <w:r>
              <w:rPr>
                <w:rFonts w:hint="eastAsia"/>
              </w:rPr>
              <w:t>本年支出合计</w:t>
            </w:r>
          </w:p>
        </w:tc>
        <w:tc>
          <w:tcPr>
            <w:tcW w:w="2126" w:type="dxa"/>
            <w:vAlign w:val="center"/>
          </w:tcPr>
          <w:p>
            <w:pPr>
              <w:pStyle w:val="19"/>
            </w:pPr>
            <w:r>
              <w:t>522.72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pPr>
            <w:r>
              <w:t>522.72</w:t>
            </w:r>
          </w:p>
        </w:tc>
        <w:tc>
          <w:tcPr>
            <w:tcW w:w="4535" w:type="dxa"/>
            <w:vAlign w:val="center"/>
          </w:tcPr>
          <w:p>
            <w:pPr>
              <w:pStyle w:val="18"/>
            </w:pPr>
            <w:r>
              <w:rPr>
                <w:rFonts w:hint="eastAsia"/>
              </w:rPr>
              <w:t>支出总计</w:t>
            </w:r>
          </w:p>
        </w:tc>
        <w:tc>
          <w:tcPr>
            <w:tcW w:w="2126" w:type="dxa"/>
            <w:vAlign w:val="center"/>
          </w:tcPr>
          <w:p>
            <w:pPr>
              <w:pStyle w:val="19"/>
            </w:pPr>
            <w:r>
              <w:t>522.72</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8"/>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2"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522.72</w:t>
            </w:r>
          </w:p>
        </w:tc>
        <w:tc>
          <w:tcPr>
            <w:tcW w:w="1134" w:type="dxa"/>
            <w:vAlign w:val="center"/>
          </w:tcPr>
          <w:p>
            <w:pPr>
              <w:pStyle w:val="19"/>
            </w:pPr>
            <w:r>
              <w:t>522.72</w:t>
            </w:r>
          </w:p>
        </w:tc>
        <w:tc>
          <w:tcPr>
            <w:tcW w:w="1134" w:type="dxa"/>
            <w:vAlign w:val="center"/>
          </w:tcPr>
          <w:p>
            <w:pPr>
              <w:pStyle w:val="19"/>
            </w:pPr>
            <w:r>
              <w:t>522.72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rPr>
                <w:rFonts w:hint="eastAsia"/>
              </w:rPr>
              <w:t>一般公共服务支出</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20132</w:t>
            </w:r>
          </w:p>
        </w:tc>
        <w:tc>
          <w:tcPr>
            <w:tcW w:w="1559" w:type="dxa"/>
            <w:vAlign w:val="center"/>
          </w:tcPr>
          <w:p>
            <w:pPr>
              <w:pStyle w:val="16"/>
            </w:pPr>
            <w:r>
              <w:rPr>
                <w:rFonts w:hint="eastAsia"/>
              </w:rPr>
              <w:t>组织事务</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r>
              <w:t>398.70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2013201</w:t>
            </w:r>
          </w:p>
        </w:tc>
        <w:tc>
          <w:tcPr>
            <w:tcW w:w="1559" w:type="dxa"/>
            <w:vAlign w:val="center"/>
          </w:tcPr>
          <w:p>
            <w:pPr>
              <w:pStyle w:val="16"/>
            </w:pPr>
            <w:r>
              <w:rPr>
                <w:rFonts w:hint="eastAsia"/>
              </w:rPr>
              <w:t>行政运行</w:t>
            </w:r>
          </w:p>
        </w:tc>
        <w:tc>
          <w:tcPr>
            <w:tcW w:w="1134" w:type="dxa"/>
            <w:vAlign w:val="center"/>
          </w:tcPr>
          <w:p>
            <w:pPr>
              <w:pStyle w:val="15"/>
            </w:pPr>
            <w:r>
              <w:t>358.70</w:t>
            </w:r>
          </w:p>
        </w:tc>
        <w:tc>
          <w:tcPr>
            <w:tcW w:w="1134" w:type="dxa"/>
            <w:vAlign w:val="center"/>
          </w:tcPr>
          <w:p>
            <w:pPr>
              <w:pStyle w:val="15"/>
            </w:pPr>
            <w:r>
              <w:t>358.70</w:t>
            </w:r>
          </w:p>
        </w:tc>
        <w:tc>
          <w:tcPr>
            <w:tcW w:w="1134" w:type="dxa"/>
            <w:vAlign w:val="center"/>
          </w:tcPr>
          <w:p>
            <w:pPr>
              <w:pStyle w:val="15"/>
            </w:pPr>
            <w:r>
              <w:t>358.70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2013202</w:t>
            </w:r>
          </w:p>
        </w:tc>
        <w:tc>
          <w:tcPr>
            <w:tcW w:w="1559" w:type="dxa"/>
            <w:vAlign w:val="center"/>
          </w:tcPr>
          <w:p>
            <w:pPr>
              <w:pStyle w:val="16"/>
            </w:pPr>
            <w:r>
              <w:rPr>
                <w:rFonts w:hint="eastAsia"/>
              </w:rPr>
              <w:t>一般行政管理事务</w:t>
            </w:r>
          </w:p>
        </w:tc>
        <w:tc>
          <w:tcPr>
            <w:tcW w:w="1134" w:type="dxa"/>
            <w:vAlign w:val="center"/>
          </w:tcPr>
          <w:p>
            <w:pPr>
              <w:pStyle w:val="15"/>
            </w:pPr>
            <w:r>
              <w:t>40.00</w:t>
            </w:r>
          </w:p>
        </w:tc>
        <w:tc>
          <w:tcPr>
            <w:tcW w:w="1134" w:type="dxa"/>
            <w:vAlign w:val="center"/>
          </w:tcPr>
          <w:p>
            <w:pPr>
              <w:pStyle w:val="15"/>
            </w:pPr>
            <w:r>
              <w:t>40.00</w:t>
            </w:r>
          </w:p>
        </w:tc>
        <w:tc>
          <w:tcPr>
            <w:tcW w:w="1134" w:type="dxa"/>
            <w:vAlign w:val="center"/>
          </w:tcPr>
          <w:p>
            <w:pPr>
              <w:pStyle w:val="15"/>
            </w:pPr>
            <w:r>
              <w:t>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r>
              <w:t>70.53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20.23</w:t>
            </w:r>
          </w:p>
        </w:tc>
        <w:tc>
          <w:tcPr>
            <w:tcW w:w="1134" w:type="dxa"/>
            <w:vAlign w:val="center"/>
          </w:tcPr>
          <w:p>
            <w:pPr>
              <w:pStyle w:val="15"/>
            </w:pPr>
            <w:r>
              <w:t>20.23</w:t>
            </w:r>
          </w:p>
        </w:tc>
        <w:tc>
          <w:tcPr>
            <w:tcW w:w="1134" w:type="dxa"/>
            <w:vAlign w:val="center"/>
          </w:tcPr>
          <w:p>
            <w:pPr>
              <w:pStyle w:val="15"/>
            </w:pPr>
            <w:r>
              <w:t>20.23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50.30</w:t>
            </w:r>
          </w:p>
        </w:tc>
        <w:tc>
          <w:tcPr>
            <w:tcW w:w="1134" w:type="dxa"/>
            <w:vAlign w:val="center"/>
          </w:tcPr>
          <w:p>
            <w:pPr>
              <w:pStyle w:val="15"/>
            </w:pPr>
            <w:r>
              <w:t>50.30</w:t>
            </w:r>
          </w:p>
        </w:tc>
        <w:tc>
          <w:tcPr>
            <w:tcW w:w="1134" w:type="dxa"/>
            <w:vAlign w:val="center"/>
          </w:tcPr>
          <w:p>
            <w:pPr>
              <w:pStyle w:val="15"/>
            </w:pPr>
            <w:r>
              <w:t>50.30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r>
              <w:t>27.01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13.01</w:t>
            </w:r>
          </w:p>
        </w:tc>
        <w:tc>
          <w:tcPr>
            <w:tcW w:w="1134" w:type="dxa"/>
            <w:vAlign w:val="center"/>
          </w:tcPr>
          <w:p>
            <w:pPr>
              <w:pStyle w:val="15"/>
            </w:pPr>
            <w:r>
              <w:t>13.01</w:t>
            </w:r>
          </w:p>
        </w:tc>
        <w:tc>
          <w:tcPr>
            <w:tcW w:w="1134" w:type="dxa"/>
            <w:vAlign w:val="center"/>
          </w:tcPr>
          <w:p>
            <w:pPr>
              <w:pStyle w:val="15"/>
            </w:pPr>
            <w:r>
              <w:t>13.01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2101103</w:t>
            </w:r>
          </w:p>
        </w:tc>
        <w:tc>
          <w:tcPr>
            <w:tcW w:w="1559" w:type="dxa"/>
            <w:vAlign w:val="center"/>
          </w:tcPr>
          <w:p>
            <w:pPr>
              <w:pStyle w:val="16"/>
            </w:pPr>
            <w:r>
              <w:rPr>
                <w:rFonts w:hint="eastAsia"/>
              </w:rPr>
              <w:t>公务员医疗补助</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r>
              <w:t>26.48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8"/>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6"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center"/>
          </w:tcPr>
          <w:p>
            <w:pPr>
              <w:pStyle w:val="19"/>
            </w:pPr>
            <w:r>
              <w:t>522.72</w:t>
            </w:r>
          </w:p>
        </w:tc>
        <w:tc>
          <w:tcPr>
            <w:tcW w:w="1361" w:type="dxa"/>
            <w:vAlign w:val="center"/>
          </w:tcPr>
          <w:p>
            <w:pPr>
              <w:pStyle w:val="19"/>
            </w:pPr>
            <w:r>
              <w:t>482.72</w:t>
            </w:r>
          </w:p>
        </w:tc>
        <w:tc>
          <w:tcPr>
            <w:tcW w:w="1361" w:type="dxa"/>
            <w:vAlign w:val="center"/>
          </w:tcPr>
          <w:p>
            <w:pPr>
              <w:pStyle w:val="19"/>
            </w:pPr>
            <w:r>
              <w:t>40.00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rPr>
                <w:rFonts w:hint="eastAsia"/>
              </w:rPr>
              <w:t>一般公共服务支出</w:t>
            </w:r>
          </w:p>
        </w:tc>
        <w:tc>
          <w:tcPr>
            <w:tcW w:w="1361" w:type="dxa"/>
            <w:vAlign w:val="center"/>
          </w:tcPr>
          <w:p>
            <w:pPr>
              <w:pStyle w:val="15"/>
            </w:pPr>
            <w:r>
              <w:t>398.70</w:t>
            </w:r>
          </w:p>
        </w:tc>
        <w:tc>
          <w:tcPr>
            <w:tcW w:w="1361" w:type="dxa"/>
            <w:vAlign w:val="center"/>
          </w:tcPr>
          <w:p>
            <w:pPr>
              <w:pStyle w:val="15"/>
            </w:pPr>
            <w:r>
              <w:t>358.70</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20132</w:t>
            </w:r>
          </w:p>
        </w:tc>
        <w:tc>
          <w:tcPr>
            <w:tcW w:w="4536" w:type="dxa"/>
            <w:vAlign w:val="center"/>
          </w:tcPr>
          <w:p>
            <w:pPr>
              <w:pStyle w:val="16"/>
            </w:pPr>
            <w:r>
              <w:rPr>
                <w:rFonts w:hint="eastAsia"/>
              </w:rPr>
              <w:t>组织事务</w:t>
            </w:r>
          </w:p>
        </w:tc>
        <w:tc>
          <w:tcPr>
            <w:tcW w:w="1361" w:type="dxa"/>
            <w:vAlign w:val="center"/>
          </w:tcPr>
          <w:p>
            <w:pPr>
              <w:pStyle w:val="15"/>
            </w:pPr>
            <w:r>
              <w:t>398.70</w:t>
            </w:r>
          </w:p>
        </w:tc>
        <w:tc>
          <w:tcPr>
            <w:tcW w:w="1361" w:type="dxa"/>
            <w:vAlign w:val="center"/>
          </w:tcPr>
          <w:p>
            <w:pPr>
              <w:pStyle w:val="15"/>
            </w:pPr>
            <w:r>
              <w:t>358.70</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2013201</w:t>
            </w:r>
          </w:p>
        </w:tc>
        <w:tc>
          <w:tcPr>
            <w:tcW w:w="4536" w:type="dxa"/>
            <w:vAlign w:val="center"/>
          </w:tcPr>
          <w:p>
            <w:pPr>
              <w:pStyle w:val="16"/>
            </w:pPr>
            <w:r>
              <w:rPr>
                <w:rFonts w:hint="eastAsia"/>
              </w:rPr>
              <w:t>行政运行</w:t>
            </w:r>
          </w:p>
        </w:tc>
        <w:tc>
          <w:tcPr>
            <w:tcW w:w="1361" w:type="dxa"/>
            <w:vAlign w:val="center"/>
          </w:tcPr>
          <w:p>
            <w:pPr>
              <w:pStyle w:val="15"/>
            </w:pPr>
            <w:r>
              <w:t>358.70</w:t>
            </w:r>
          </w:p>
        </w:tc>
        <w:tc>
          <w:tcPr>
            <w:tcW w:w="1361" w:type="dxa"/>
            <w:vAlign w:val="center"/>
          </w:tcPr>
          <w:p>
            <w:pPr>
              <w:pStyle w:val="15"/>
            </w:pPr>
            <w:r>
              <w:t>358.70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2013202</w:t>
            </w:r>
          </w:p>
        </w:tc>
        <w:tc>
          <w:tcPr>
            <w:tcW w:w="4536" w:type="dxa"/>
            <w:vAlign w:val="center"/>
          </w:tcPr>
          <w:p>
            <w:pPr>
              <w:pStyle w:val="16"/>
            </w:pPr>
            <w:r>
              <w:rPr>
                <w:rFonts w:hint="eastAsia"/>
              </w:rPr>
              <w:t>一般行政管理事务</w:t>
            </w: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6" w:type="dxa"/>
            <w:vAlign w:val="center"/>
          </w:tcPr>
          <w:p>
            <w:pPr>
              <w:pStyle w:val="16"/>
            </w:pPr>
            <w:r>
              <w:rPr>
                <w:rFonts w:hint="eastAsia"/>
              </w:rPr>
              <w:t>社会保障和就业支出</w:t>
            </w:r>
          </w:p>
        </w:tc>
        <w:tc>
          <w:tcPr>
            <w:tcW w:w="1361" w:type="dxa"/>
            <w:vAlign w:val="center"/>
          </w:tcPr>
          <w:p>
            <w:pPr>
              <w:pStyle w:val="15"/>
            </w:pPr>
            <w:r>
              <w:t>70.53</w:t>
            </w:r>
          </w:p>
        </w:tc>
        <w:tc>
          <w:tcPr>
            <w:tcW w:w="1361" w:type="dxa"/>
            <w:vAlign w:val="center"/>
          </w:tcPr>
          <w:p>
            <w:pPr>
              <w:pStyle w:val="15"/>
            </w:pPr>
            <w:r>
              <w:t>70.53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6" w:type="dxa"/>
            <w:vAlign w:val="center"/>
          </w:tcPr>
          <w:p>
            <w:pPr>
              <w:pStyle w:val="16"/>
            </w:pPr>
            <w:r>
              <w:rPr>
                <w:rFonts w:hint="eastAsia"/>
              </w:rPr>
              <w:t>行政事业单位养老支出</w:t>
            </w:r>
          </w:p>
        </w:tc>
        <w:tc>
          <w:tcPr>
            <w:tcW w:w="1361" w:type="dxa"/>
            <w:vAlign w:val="center"/>
          </w:tcPr>
          <w:p>
            <w:pPr>
              <w:pStyle w:val="15"/>
            </w:pPr>
            <w:r>
              <w:t>70.53</w:t>
            </w:r>
          </w:p>
        </w:tc>
        <w:tc>
          <w:tcPr>
            <w:tcW w:w="1361" w:type="dxa"/>
            <w:vAlign w:val="center"/>
          </w:tcPr>
          <w:p>
            <w:pPr>
              <w:pStyle w:val="15"/>
            </w:pPr>
            <w:r>
              <w:t>70.53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2080501</w:t>
            </w:r>
          </w:p>
        </w:tc>
        <w:tc>
          <w:tcPr>
            <w:tcW w:w="4536" w:type="dxa"/>
            <w:vAlign w:val="center"/>
          </w:tcPr>
          <w:p>
            <w:pPr>
              <w:pStyle w:val="16"/>
            </w:pPr>
            <w:r>
              <w:rPr>
                <w:rFonts w:hint="eastAsia"/>
              </w:rPr>
              <w:t>行政单位离退休</w:t>
            </w:r>
          </w:p>
        </w:tc>
        <w:tc>
          <w:tcPr>
            <w:tcW w:w="1361" w:type="dxa"/>
            <w:vAlign w:val="center"/>
          </w:tcPr>
          <w:p>
            <w:pPr>
              <w:pStyle w:val="15"/>
            </w:pPr>
            <w:r>
              <w:t>20.23</w:t>
            </w:r>
          </w:p>
        </w:tc>
        <w:tc>
          <w:tcPr>
            <w:tcW w:w="1361" w:type="dxa"/>
            <w:vAlign w:val="center"/>
          </w:tcPr>
          <w:p>
            <w:pPr>
              <w:pStyle w:val="15"/>
            </w:pPr>
            <w:r>
              <w:t>20.23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2080505</w:t>
            </w:r>
          </w:p>
        </w:tc>
        <w:tc>
          <w:tcPr>
            <w:tcW w:w="4536" w:type="dxa"/>
            <w:vAlign w:val="center"/>
          </w:tcPr>
          <w:p>
            <w:pPr>
              <w:pStyle w:val="16"/>
            </w:pPr>
            <w:r>
              <w:rPr>
                <w:rFonts w:hint="eastAsia"/>
              </w:rPr>
              <w:t>机关事业单位基本养老保险缴费支出</w:t>
            </w:r>
          </w:p>
        </w:tc>
        <w:tc>
          <w:tcPr>
            <w:tcW w:w="1361" w:type="dxa"/>
            <w:vAlign w:val="center"/>
          </w:tcPr>
          <w:p>
            <w:pPr>
              <w:pStyle w:val="15"/>
            </w:pPr>
            <w:r>
              <w:t>50.30</w:t>
            </w:r>
          </w:p>
        </w:tc>
        <w:tc>
          <w:tcPr>
            <w:tcW w:w="1361" w:type="dxa"/>
            <w:vAlign w:val="center"/>
          </w:tcPr>
          <w:p>
            <w:pPr>
              <w:pStyle w:val="15"/>
            </w:pPr>
            <w:r>
              <w:t>50.30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w:t>
            </w:r>
          </w:p>
        </w:tc>
        <w:tc>
          <w:tcPr>
            <w:tcW w:w="4536" w:type="dxa"/>
            <w:vAlign w:val="center"/>
          </w:tcPr>
          <w:p>
            <w:pPr>
              <w:pStyle w:val="16"/>
            </w:pPr>
            <w:r>
              <w:rPr>
                <w:rFonts w:hint="eastAsia"/>
              </w:rPr>
              <w:t>卫生健康支出</w:t>
            </w:r>
          </w:p>
        </w:tc>
        <w:tc>
          <w:tcPr>
            <w:tcW w:w="1361" w:type="dxa"/>
            <w:vAlign w:val="center"/>
          </w:tcPr>
          <w:p>
            <w:pPr>
              <w:pStyle w:val="15"/>
            </w:pPr>
            <w:r>
              <w:t>27.01</w:t>
            </w:r>
          </w:p>
        </w:tc>
        <w:tc>
          <w:tcPr>
            <w:tcW w:w="1361" w:type="dxa"/>
            <w:vAlign w:val="center"/>
          </w:tcPr>
          <w:p>
            <w:pPr>
              <w:pStyle w:val="15"/>
            </w:pPr>
            <w:r>
              <w:t>27.01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w:t>
            </w:r>
          </w:p>
        </w:tc>
        <w:tc>
          <w:tcPr>
            <w:tcW w:w="4536" w:type="dxa"/>
            <w:vAlign w:val="center"/>
          </w:tcPr>
          <w:p>
            <w:pPr>
              <w:pStyle w:val="16"/>
            </w:pPr>
            <w:r>
              <w:rPr>
                <w:rFonts w:hint="eastAsia"/>
              </w:rPr>
              <w:t>行政事业单位医疗</w:t>
            </w:r>
          </w:p>
        </w:tc>
        <w:tc>
          <w:tcPr>
            <w:tcW w:w="1361" w:type="dxa"/>
            <w:vAlign w:val="center"/>
          </w:tcPr>
          <w:p>
            <w:pPr>
              <w:pStyle w:val="15"/>
            </w:pPr>
            <w:r>
              <w:t>27.01</w:t>
            </w:r>
          </w:p>
        </w:tc>
        <w:tc>
          <w:tcPr>
            <w:tcW w:w="1361" w:type="dxa"/>
            <w:vAlign w:val="center"/>
          </w:tcPr>
          <w:p>
            <w:pPr>
              <w:pStyle w:val="15"/>
            </w:pPr>
            <w:r>
              <w:t>27.01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2101101</w:t>
            </w:r>
          </w:p>
        </w:tc>
        <w:tc>
          <w:tcPr>
            <w:tcW w:w="4536" w:type="dxa"/>
            <w:vAlign w:val="center"/>
          </w:tcPr>
          <w:p>
            <w:pPr>
              <w:pStyle w:val="16"/>
            </w:pPr>
            <w:r>
              <w:rPr>
                <w:rFonts w:hint="eastAsia"/>
              </w:rPr>
              <w:t>行政单位医疗</w:t>
            </w:r>
          </w:p>
        </w:tc>
        <w:tc>
          <w:tcPr>
            <w:tcW w:w="1361" w:type="dxa"/>
            <w:vAlign w:val="center"/>
          </w:tcPr>
          <w:p>
            <w:pPr>
              <w:pStyle w:val="15"/>
            </w:pPr>
            <w:r>
              <w:t>13.01</w:t>
            </w:r>
          </w:p>
        </w:tc>
        <w:tc>
          <w:tcPr>
            <w:tcW w:w="1361" w:type="dxa"/>
            <w:vAlign w:val="center"/>
          </w:tcPr>
          <w:p>
            <w:pPr>
              <w:pStyle w:val="15"/>
            </w:pPr>
            <w:r>
              <w:t>13.01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2101103</w:t>
            </w:r>
          </w:p>
        </w:tc>
        <w:tc>
          <w:tcPr>
            <w:tcW w:w="4536" w:type="dxa"/>
            <w:vAlign w:val="center"/>
          </w:tcPr>
          <w:p>
            <w:pPr>
              <w:pStyle w:val="16"/>
            </w:pPr>
            <w:r>
              <w:rPr>
                <w:rFonts w:hint="eastAsia"/>
              </w:rPr>
              <w:t>公务员医疗补助</w:t>
            </w:r>
          </w:p>
        </w:tc>
        <w:tc>
          <w:tcPr>
            <w:tcW w:w="1361" w:type="dxa"/>
            <w:vAlign w:val="center"/>
          </w:tcPr>
          <w:p>
            <w:pPr>
              <w:pStyle w:val="15"/>
            </w:pPr>
            <w:r>
              <w:t>14.00</w:t>
            </w:r>
          </w:p>
        </w:tc>
        <w:tc>
          <w:tcPr>
            <w:tcW w:w="1361" w:type="dxa"/>
            <w:vAlign w:val="center"/>
          </w:tcPr>
          <w:p>
            <w:pPr>
              <w:pStyle w:val="15"/>
            </w:pPr>
            <w:r>
              <w:t>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rPr>
                <w:rFonts w:hint="eastAsia"/>
              </w:rPr>
              <w:t>住房保障支出</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rPr>
                <w:rFonts w:hint="eastAsia"/>
              </w:rPr>
              <w:t>住房改革支出</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rPr>
                <w:rFonts w:hint="eastAsia"/>
              </w:rPr>
              <w:t>住房公积金</w:t>
            </w:r>
          </w:p>
        </w:tc>
        <w:tc>
          <w:tcPr>
            <w:tcW w:w="1361" w:type="dxa"/>
            <w:vAlign w:val="center"/>
          </w:tcPr>
          <w:p>
            <w:pPr>
              <w:pStyle w:val="15"/>
            </w:pPr>
            <w:r>
              <w:t>26.48</w:t>
            </w:r>
          </w:p>
        </w:tc>
        <w:tc>
          <w:tcPr>
            <w:tcW w:w="1361" w:type="dxa"/>
            <w:vAlign w:val="center"/>
          </w:tcPr>
          <w:p>
            <w:pPr>
              <w:pStyle w:val="15"/>
            </w:pPr>
            <w:r>
              <w:t>26.48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8"/>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522.72</w:t>
            </w:r>
          </w:p>
        </w:tc>
        <w:tc>
          <w:tcPr>
            <w:tcW w:w="3402" w:type="dxa"/>
            <w:vAlign w:val="center"/>
          </w:tcPr>
          <w:p>
            <w:pPr>
              <w:pStyle w:val="16"/>
            </w:pPr>
            <w:r>
              <w:rPr>
                <w:rFonts w:hint="eastAsia"/>
              </w:rPr>
              <w:t>一、一般公共服务支出</w:t>
            </w:r>
          </w:p>
        </w:tc>
        <w:tc>
          <w:tcPr>
            <w:tcW w:w="1474" w:type="dxa"/>
            <w:vAlign w:val="center"/>
          </w:tcPr>
          <w:p>
            <w:pPr>
              <w:pStyle w:val="15"/>
            </w:pPr>
            <w:r>
              <w:t>398.70</w:t>
            </w:r>
          </w:p>
        </w:tc>
        <w:tc>
          <w:tcPr>
            <w:tcW w:w="1474" w:type="dxa"/>
            <w:vAlign w:val="center"/>
          </w:tcPr>
          <w:p>
            <w:pPr>
              <w:pStyle w:val="15"/>
            </w:pPr>
            <w:r>
              <w:t>398.70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70.53</w:t>
            </w:r>
          </w:p>
        </w:tc>
        <w:tc>
          <w:tcPr>
            <w:tcW w:w="1474" w:type="dxa"/>
            <w:vAlign w:val="center"/>
          </w:tcPr>
          <w:p>
            <w:pPr>
              <w:pStyle w:val="15"/>
            </w:pPr>
            <w:r>
              <w:t>70.53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27.01</w:t>
            </w:r>
          </w:p>
        </w:tc>
        <w:tc>
          <w:tcPr>
            <w:tcW w:w="1474" w:type="dxa"/>
            <w:vAlign w:val="center"/>
          </w:tcPr>
          <w:p>
            <w:pPr>
              <w:pStyle w:val="15"/>
            </w:pPr>
            <w:r>
              <w:t>27.01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26.48</w:t>
            </w:r>
          </w:p>
        </w:tc>
        <w:tc>
          <w:tcPr>
            <w:tcW w:w="1474" w:type="dxa"/>
            <w:vAlign w:val="center"/>
          </w:tcPr>
          <w:p>
            <w:pPr>
              <w:pStyle w:val="15"/>
            </w:pPr>
            <w:r>
              <w:t>26.48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rPr>
                <w:rFonts w:hint="eastAsia"/>
              </w:rPr>
              <w:t>本年收入合计</w:t>
            </w:r>
          </w:p>
        </w:tc>
        <w:tc>
          <w:tcPr>
            <w:tcW w:w="1474" w:type="dxa"/>
            <w:vAlign w:val="center"/>
          </w:tcPr>
          <w:p>
            <w:pPr>
              <w:pStyle w:val="19"/>
            </w:pPr>
            <w:r>
              <w:t>522.72</w:t>
            </w:r>
          </w:p>
        </w:tc>
        <w:tc>
          <w:tcPr>
            <w:tcW w:w="3402" w:type="dxa"/>
            <w:vAlign w:val="center"/>
          </w:tcPr>
          <w:p>
            <w:pPr>
              <w:pStyle w:val="18"/>
            </w:pPr>
            <w:r>
              <w:rPr>
                <w:rFonts w:hint="eastAsia"/>
              </w:rPr>
              <w:t>本年支出合计</w:t>
            </w:r>
          </w:p>
        </w:tc>
        <w:tc>
          <w:tcPr>
            <w:tcW w:w="1474" w:type="dxa"/>
            <w:vAlign w:val="center"/>
          </w:tcPr>
          <w:p>
            <w:pPr>
              <w:pStyle w:val="19"/>
            </w:pPr>
            <w:r>
              <w:t>522.72</w:t>
            </w:r>
          </w:p>
        </w:tc>
        <w:tc>
          <w:tcPr>
            <w:tcW w:w="1474" w:type="dxa"/>
            <w:vAlign w:val="center"/>
          </w:tcPr>
          <w:p>
            <w:pPr>
              <w:pStyle w:val="19"/>
            </w:pPr>
            <w:r>
              <w:t>522.72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rPr>
                <w:rFonts w:hint="eastAsia"/>
              </w:rPr>
              <w:t>年初财政拨款结转和结余</w:t>
            </w:r>
          </w:p>
        </w:tc>
        <w:tc>
          <w:tcPr>
            <w:tcW w:w="1474" w:type="dxa"/>
            <w:vAlign w:val="center"/>
          </w:tcPr>
          <w:p>
            <w:pPr>
              <w:pStyle w:val="15"/>
            </w:pP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rPr>
                <w:rFonts w:hint="eastAsia"/>
              </w:rPr>
              <w:t>收入总计</w:t>
            </w:r>
          </w:p>
        </w:tc>
        <w:tc>
          <w:tcPr>
            <w:tcW w:w="1474" w:type="dxa"/>
            <w:vAlign w:val="center"/>
          </w:tcPr>
          <w:p>
            <w:pPr>
              <w:pStyle w:val="19"/>
            </w:pPr>
            <w:r>
              <w:t>522.72</w:t>
            </w:r>
          </w:p>
        </w:tc>
        <w:tc>
          <w:tcPr>
            <w:tcW w:w="3402" w:type="dxa"/>
            <w:vAlign w:val="center"/>
          </w:tcPr>
          <w:p>
            <w:pPr>
              <w:pStyle w:val="18"/>
            </w:pPr>
            <w:r>
              <w:rPr>
                <w:rFonts w:hint="eastAsia"/>
              </w:rPr>
              <w:t>支出总计</w:t>
            </w:r>
          </w:p>
        </w:tc>
        <w:tc>
          <w:tcPr>
            <w:tcW w:w="1474" w:type="dxa"/>
            <w:vAlign w:val="center"/>
          </w:tcPr>
          <w:p>
            <w:pPr>
              <w:pStyle w:val="19"/>
            </w:pPr>
            <w:r>
              <w:t>522.72</w:t>
            </w:r>
          </w:p>
        </w:tc>
        <w:tc>
          <w:tcPr>
            <w:tcW w:w="1474" w:type="dxa"/>
            <w:vAlign w:val="center"/>
          </w:tcPr>
          <w:p>
            <w:pPr>
              <w:pStyle w:val="19"/>
            </w:pPr>
            <w:r>
              <w:t>522.72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522.72</w:t>
            </w:r>
          </w:p>
        </w:tc>
        <w:tc>
          <w:tcPr>
            <w:tcW w:w="2551" w:type="dxa"/>
            <w:vAlign w:val="center"/>
          </w:tcPr>
          <w:p>
            <w:pPr>
              <w:pStyle w:val="19"/>
            </w:pPr>
            <w:r>
              <w:t>482.72</w:t>
            </w:r>
          </w:p>
        </w:tc>
        <w:tc>
          <w:tcPr>
            <w:tcW w:w="2551" w:type="dxa"/>
            <w:vAlign w:val="center"/>
          </w:tcPr>
          <w:p>
            <w:pPr>
              <w:pStyle w:val="1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rPr>
                <w:rFonts w:hint="eastAsia"/>
              </w:rPr>
              <w:t>一般公共服务支出</w:t>
            </w:r>
          </w:p>
        </w:tc>
        <w:tc>
          <w:tcPr>
            <w:tcW w:w="2551" w:type="dxa"/>
            <w:vAlign w:val="center"/>
          </w:tcPr>
          <w:p>
            <w:pPr>
              <w:pStyle w:val="15"/>
            </w:pPr>
            <w:r>
              <w:t>398.70</w:t>
            </w:r>
          </w:p>
        </w:tc>
        <w:tc>
          <w:tcPr>
            <w:tcW w:w="2551" w:type="dxa"/>
            <w:vAlign w:val="center"/>
          </w:tcPr>
          <w:p>
            <w:pPr>
              <w:pStyle w:val="15"/>
            </w:pPr>
            <w:r>
              <w:t>358.70</w:t>
            </w: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20132</w:t>
            </w:r>
          </w:p>
        </w:tc>
        <w:tc>
          <w:tcPr>
            <w:tcW w:w="4535" w:type="dxa"/>
            <w:vAlign w:val="center"/>
          </w:tcPr>
          <w:p>
            <w:pPr>
              <w:pStyle w:val="16"/>
            </w:pPr>
            <w:r>
              <w:rPr>
                <w:rFonts w:hint="eastAsia"/>
              </w:rPr>
              <w:t>组织事务</w:t>
            </w:r>
          </w:p>
        </w:tc>
        <w:tc>
          <w:tcPr>
            <w:tcW w:w="2551" w:type="dxa"/>
            <w:vAlign w:val="center"/>
          </w:tcPr>
          <w:p>
            <w:pPr>
              <w:pStyle w:val="15"/>
            </w:pPr>
            <w:r>
              <w:t>398.70</w:t>
            </w:r>
          </w:p>
        </w:tc>
        <w:tc>
          <w:tcPr>
            <w:tcW w:w="2551" w:type="dxa"/>
            <w:vAlign w:val="center"/>
          </w:tcPr>
          <w:p>
            <w:pPr>
              <w:pStyle w:val="15"/>
            </w:pPr>
            <w:r>
              <w:t>358.70</w:t>
            </w: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2013201</w:t>
            </w:r>
          </w:p>
        </w:tc>
        <w:tc>
          <w:tcPr>
            <w:tcW w:w="4535" w:type="dxa"/>
            <w:vAlign w:val="center"/>
          </w:tcPr>
          <w:p>
            <w:pPr>
              <w:pStyle w:val="16"/>
            </w:pPr>
            <w:r>
              <w:rPr>
                <w:rFonts w:hint="eastAsia"/>
              </w:rPr>
              <w:t>行政运行</w:t>
            </w:r>
          </w:p>
        </w:tc>
        <w:tc>
          <w:tcPr>
            <w:tcW w:w="2551" w:type="dxa"/>
            <w:vAlign w:val="center"/>
          </w:tcPr>
          <w:p>
            <w:pPr>
              <w:pStyle w:val="15"/>
            </w:pPr>
            <w:r>
              <w:t>358.70</w:t>
            </w:r>
          </w:p>
        </w:tc>
        <w:tc>
          <w:tcPr>
            <w:tcW w:w="2551" w:type="dxa"/>
            <w:vAlign w:val="center"/>
          </w:tcPr>
          <w:p>
            <w:pPr>
              <w:pStyle w:val="15"/>
            </w:pPr>
            <w:r>
              <w:t>358.70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2013202</w:t>
            </w:r>
          </w:p>
        </w:tc>
        <w:tc>
          <w:tcPr>
            <w:tcW w:w="4535" w:type="dxa"/>
            <w:vAlign w:val="center"/>
          </w:tcPr>
          <w:p>
            <w:pPr>
              <w:pStyle w:val="16"/>
            </w:pPr>
            <w:r>
              <w:rPr>
                <w:rFonts w:hint="eastAsia"/>
              </w:rPr>
              <w:t>一般行政管理事务</w:t>
            </w:r>
          </w:p>
        </w:tc>
        <w:tc>
          <w:tcPr>
            <w:tcW w:w="2551" w:type="dxa"/>
            <w:vAlign w:val="center"/>
          </w:tcPr>
          <w:p>
            <w:pPr>
              <w:pStyle w:val="15"/>
            </w:pPr>
            <w:r>
              <w:t>40.00</w:t>
            </w:r>
          </w:p>
        </w:tc>
        <w:tc>
          <w:tcPr>
            <w:tcW w:w="2551" w:type="dxa"/>
            <w:vAlign w:val="center"/>
          </w:tcPr>
          <w:p>
            <w:pPr>
              <w:pStyle w:val="15"/>
            </w:pP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70.53</w:t>
            </w:r>
          </w:p>
        </w:tc>
        <w:tc>
          <w:tcPr>
            <w:tcW w:w="2551" w:type="dxa"/>
            <w:vAlign w:val="center"/>
          </w:tcPr>
          <w:p>
            <w:pPr>
              <w:pStyle w:val="15"/>
            </w:pPr>
            <w:r>
              <w:t>70.53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70.53</w:t>
            </w:r>
          </w:p>
        </w:tc>
        <w:tc>
          <w:tcPr>
            <w:tcW w:w="2551" w:type="dxa"/>
            <w:vAlign w:val="center"/>
          </w:tcPr>
          <w:p>
            <w:pPr>
              <w:pStyle w:val="15"/>
            </w:pPr>
            <w:r>
              <w:t>70.53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20.23</w:t>
            </w:r>
          </w:p>
        </w:tc>
        <w:tc>
          <w:tcPr>
            <w:tcW w:w="2551" w:type="dxa"/>
            <w:vAlign w:val="center"/>
          </w:tcPr>
          <w:p>
            <w:pPr>
              <w:pStyle w:val="15"/>
            </w:pPr>
            <w:r>
              <w:t>20.23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50.30</w:t>
            </w:r>
          </w:p>
        </w:tc>
        <w:tc>
          <w:tcPr>
            <w:tcW w:w="2551" w:type="dxa"/>
            <w:vAlign w:val="center"/>
          </w:tcPr>
          <w:p>
            <w:pPr>
              <w:pStyle w:val="15"/>
            </w:pPr>
            <w:r>
              <w:t>50.30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27.01</w:t>
            </w:r>
          </w:p>
        </w:tc>
        <w:tc>
          <w:tcPr>
            <w:tcW w:w="2551" w:type="dxa"/>
            <w:vAlign w:val="center"/>
          </w:tcPr>
          <w:p>
            <w:pPr>
              <w:pStyle w:val="15"/>
            </w:pPr>
            <w:r>
              <w:t>27.01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27.01</w:t>
            </w:r>
          </w:p>
        </w:tc>
        <w:tc>
          <w:tcPr>
            <w:tcW w:w="2551" w:type="dxa"/>
            <w:vAlign w:val="center"/>
          </w:tcPr>
          <w:p>
            <w:pPr>
              <w:pStyle w:val="15"/>
            </w:pPr>
            <w:r>
              <w:t>27.01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13.01</w:t>
            </w:r>
          </w:p>
        </w:tc>
        <w:tc>
          <w:tcPr>
            <w:tcW w:w="2551" w:type="dxa"/>
            <w:vAlign w:val="center"/>
          </w:tcPr>
          <w:p>
            <w:pPr>
              <w:pStyle w:val="15"/>
            </w:pPr>
            <w:r>
              <w:t>13.01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2101103</w:t>
            </w:r>
          </w:p>
        </w:tc>
        <w:tc>
          <w:tcPr>
            <w:tcW w:w="4535" w:type="dxa"/>
            <w:vAlign w:val="center"/>
          </w:tcPr>
          <w:p>
            <w:pPr>
              <w:pStyle w:val="16"/>
            </w:pPr>
            <w:r>
              <w:rPr>
                <w:rFonts w:hint="eastAsia"/>
              </w:rPr>
              <w:t>公务员医疗补助</w:t>
            </w:r>
          </w:p>
        </w:tc>
        <w:tc>
          <w:tcPr>
            <w:tcW w:w="2551" w:type="dxa"/>
            <w:vAlign w:val="center"/>
          </w:tcPr>
          <w:p>
            <w:pPr>
              <w:pStyle w:val="15"/>
            </w:pPr>
            <w:r>
              <w:t>14.00</w:t>
            </w:r>
          </w:p>
        </w:tc>
        <w:tc>
          <w:tcPr>
            <w:tcW w:w="2551" w:type="dxa"/>
            <w:vAlign w:val="center"/>
          </w:tcPr>
          <w:p>
            <w:pPr>
              <w:pStyle w:val="15"/>
            </w:pPr>
            <w:r>
              <w:t>14.00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26.48</w:t>
            </w:r>
          </w:p>
        </w:tc>
        <w:tc>
          <w:tcPr>
            <w:tcW w:w="2551" w:type="dxa"/>
            <w:vAlign w:val="center"/>
          </w:tcPr>
          <w:p>
            <w:pPr>
              <w:pStyle w:val="15"/>
            </w:pPr>
            <w:r>
              <w:t>26.48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2"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482.72</w:t>
            </w:r>
          </w:p>
        </w:tc>
        <w:tc>
          <w:tcPr>
            <w:tcW w:w="2551" w:type="dxa"/>
            <w:vAlign w:val="center"/>
          </w:tcPr>
          <w:p>
            <w:pPr>
              <w:pStyle w:val="19"/>
            </w:pPr>
            <w:r>
              <w:t>434.35</w:t>
            </w:r>
          </w:p>
        </w:tc>
        <w:tc>
          <w:tcPr>
            <w:tcW w:w="2552" w:type="dxa"/>
            <w:vAlign w:val="center"/>
          </w:tcPr>
          <w:p>
            <w:pPr>
              <w:pStyle w:val="19"/>
            </w:pPr>
            <w:r>
              <w:t>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414.06</w:t>
            </w:r>
          </w:p>
        </w:tc>
        <w:tc>
          <w:tcPr>
            <w:tcW w:w="2551" w:type="dxa"/>
            <w:vAlign w:val="center"/>
          </w:tcPr>
          <w:p>
            <w:pPr>
              <w:pStyle w:val="15"/>
            </w:pPr>
            <w:r>
              <w:t>414.06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141.12</w:t>
            </w:r>
          </w:p>
        </w:tc>
        <w:tc>
          <w:tcPr>
            <w:tcW w:w="2551" w:type="dxa"/>
            <w:vAlign w:val="center"/>
          </w:tcPr>
          <w:p>
            <w:pPr>
              <w:pStyle w:val="15"/>
            </w:pPr>
            <w:r>
              <w:t>141.12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82.23</w:t>
            </w:r>
          </w:p>
        </w:tc>
        <w:tc>
          <w:tcPr>
            <w:tcW w:w="2551" w:type="dxa"/>
            <w:vAlign w:val="center"/>
          </w:tcPr>
          <w:p>
            <w:pPr>
              <w:pStyle w:val="15"/>
            </w:pPr>
            <w:r>
              <w:t>82.23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6.93</w:t>
            </w:r>
          </w:p>
        </w:tc>
        <w:tc>
          <w:tcPr>
            <w:tcW w:w="2551" w:type="dxa"/>
            <w:vAlign w:val="center"/>
          </w:tcPr>
          <w:p>
            <w:pPr>
              <w:pStyle w:val="15"/>
            </w:pPr>
            <w:r>
              <w:t>6.93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13.98</w:t>
            </w:r>
          </w:p>
        </w:tc>
        <w:tc>
          <w:tcPr>
            <w:tcW w:w="2551" w:type="dxa"/>
            <w:vAlign w:val="center"/>
          </w:tcPr>
          <w:p>
            <w:pPr>
              <w:pStyle w:val="15"/>
            </w:pPr>
            <w:r>
              <w:t>13.98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50.30</w:t>
            </w:r>
          </w:p>
        </w:tc>
        <w:tc>
          <w:tcPr>
            <w:tcW w:w="2551" w:type="dxa"/>
            <w:vAlign w:val="center"/>
          </w:tcPr>
          <w:p>
            <w:pPr>
              <w:pStyle w:val="15"/>
            </w:pPr>
            <w:r>
              <w:t>50.30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职工基本医疗保险缴费</w:t>
            </w:r>
          </w:p>
        </w:tc>
        <w:tc>
          <w:tcPr>
            <w:tcW w:w="2551" w:type="dxa"/>
            <w:vAlign w:val="center"/>
          </w:tcPr>
          <w:p>
            <w:pPr>
              <w:pStyle w:val="15"/>
            </w:pPr>
            <w:r>
              <w:t>13.01</w:t>
            </w:r>
          </w:p>
        </w:tc>
        <w:tc>
          <w:tcPr>
            <w:tcW w:w="2551" w:type="dxa"/>
            <w:vAlign w:val="center"/>
          </w:tcPr>
          <w:p>
            <w:pPr>
              <w:pStyle w:val="15"/>
            </w:pPr>
            <w:r>
              <w:t>13.01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rPr>
                <w:rFonts w:hint="eastAsia"/>
              </w:rPr>
              <w:t>公务员医疗补助缴费</w:t>
            </w:r>
          </w:p>
        </w:tc>
        <w:tc>
          <w:tcPr>
            <w:tcW w:w="2551" w:type="dxa"/>
            <w:vAlign w:val="center"/>
          </w:tcPr>
          <w:p>
            <w:pPr>
              <w:pStyle w:val="15"/>
            </w:pPr>
            <w:r>
              <w:t>14.00</w:t>
            </w:r>
          </w:p>
        </w:tc>
        <w:tc>
          <w:tcPr>
            <w:tcW w:w="2551" w:type="dxa"/>
            <w:vAlign w:val="center"/>
          </w:tcPr>
          <w:p>
            <w:pPr>
              <w:pStyle w:val="15"/>
            </w:pPr>
            <w:r>
              <w:t>14.00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1.11</w:t>
            </w:r>
          </w:p>
        </w:tc>
        <w:tc>
          <w:tcPr>
            <w:tcW w:w="2551" w:type="dxa"/>
            <w:vAlign w:val="center"/>
          </w:tcPr>
          <w:p>
            <w:pPr>
              <w:pStyle w:val="15"/>
            </w:pPr>
            <w:r>
              <w:t>1.11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26.48</w:t>
            </w:r>
          </w:p>
        </w:tc>
        <w:tc>
          <w:tcPr>
            <w:tcW w:w="2551" w:type="dxa"/>
            <w:vAlign w:val="center"/>
          </w:tcPr>
          <w:p>
            <w:pPr>
              <w:pStyle w:val="15"/>
            </w:pPr>
            <w:r>
              <w:t>26.48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rPr>
                <w:rFonts w:hint="eastAsia"/>
              </w:rPr>
              <w:t>其他工资福利支出</w:t>
            </w:r>
          </w:p>
        </w:tc>
        <w:tc>
          <w:tcPr>
            <w:tcW w:w="2551" w:type="dxa"/>
            <w:vAlign w:val="center"/>
          </w:tcPr>
          <w:p>
            <w:pPr>
              <w:pStyle w:val="15"/>
            </w:pPr>
            <w:r>
              <w:t>64.90</w:t>
            </w:r>
          </w:p>
        </w:tc>
        <w:tc>
          <w:tcPr>
            <w:tcW w:w="2551" w:type="dxa"/>
            <w:vAlign w:val="center"/>
          </w:tcPr>
          <w:p>
            <w:pPr>
              <w:pStyle w:val="15"/>
            </w:pPr>
            <w:r>
              <w:t>64.90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48.37</w:t>
            </w:r>
          </w:p>
        </w:tc>
        <w:tc>
          <w:tcPr>
            <w:tcW w:w="2551" w:type="dxa"/>
            <w:vAlign w:val="center"/>
          </w:tcPr>
          <w:p>
            <w:pPr>
              <w:pStyle w:val="15"/>
            </w:pPr>
          </w:p>
        </w:tc>
        <w:tc>
          <w:tcPr>
            <w:tcW w:w="2552" w:type="dxa"/>
            <w:vAlign w:val="center"/>
          </w:tcPr>
          <w:p>
            <w:pPr>
              <w:pStyle w:val="15"/>
            </w:pPr>
            <w:r>
              <w:t>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9.15</w:t>
            </w:r>
          </w:p>
        </w:tc>
        <w:tc>
          <w:tcPr>
            <w:tcW w:w="2551" w:type="dxa"/>
            <w:vAlign w:val="center"/>
          </w:tcPr>
          <w:p>
            <w:pPr>
              <w:pStyle w:val="15"/>
            </w:pPr>
          </w:p>
        </w:tc>
        <w:tc>
          <w:tcPr>
            <w:tcW w:w="2552" w:type="dxa"/>
            <w:vAlign w:val="center"/>
          </w:tcPr>
          <w:p>
            <w:pPr>
              <w:pStyle w:val="15"/>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11.44</w:t>
            </w:r>
          </w:p>
        </w:tc>
        <w:tc>
          <w:tcPr>
            <w:tcW w:w="2551" w:type="dxa"/>
            <w:vAlign w:val="center"/>
          </w:tcPr>
          <w:p>
            <w:pPr>
              <w:pStyle w:val="15"/>
            </w:pPr>
          </w:p>
        </w:tc>
        <w:tc>
          <w:tcPr>
            <w:tcW w:w="2552" w:type="dxa"/>
            <w:vAlign w:val="center"/>
          </w:tcPr>
          <w:p>
            <w:pPr>
              <w:pStyle w:val="15"/>
            </w:pPr>
            <w:r>
              <w:t>11.44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2.14</w:t>
            </w:r>
          </w:p>
        </w:tc>
        <w:tc>
          <w:tcPr>
            <w:tcW w:w="2551" w:type="dxa"/>
            <w:vAlign w:val="center"/>
          </w:tcPr>
          <w:p>
            <w:pPr>
              <w:pStyle w:val="15"/>
            </w:pPr>
          </w:p>
        </w:tc>
        <w:tc>
          <w:tcPr>
            <w:tcW w:w="2552" w:type="dxa"/>
            <w:vAlign w:val="center"/>
          </w:tcPr>
          <w:p>
            <w:pPr>
              <w:pStyle w:val="15"/>
            </w:pPr>
            <w: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2.87</w:t>
            </w:r>
          </w:p>
        </w:tc>
        <w:tc>
          <w:tcPr>
            <w:tcW w:w="2551" w:type="dxa"/>
            <w:vAlign w:val="center"/>
          </w:tcPr>
          <w:p>
            <w:pPr>
              <w:pStyle w:val="15"/>
            </w:pPr>
          </w:p>
        </w:tc>
        <w:tc>
          <w:tcPr>
            <w:tcW w:w="2552" w:type="dxa"/>
            <w:vAlign w:val="center"/>
          </w:tcPr>
          <w:p>
            <w:pPr>
              <w:pStyle w:val="15"/>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1.50</w:t>
            </w:r>
          </w:p>
        </w:tc>
        <w:tc>
          <w:tcPr>
            <w:tcW w:w="2551" w:type="dxa"/>
            <w:vAlign w:val="center"/>
          </w:tcPr>
          <w:p>
            <w:pPr>
              <w:pStyle w:val="15"/>
            </w:pPr>
          </w:p>
        </w:tc>
        <w:tc>
          <w:tcPr>
            <w:tcW w:w="2552"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16.96</w:t>
            </w:r>
          </w:p>
        </w:tc>
        <w:tc>
          <w:tcPr>
            <w:tcW w:w="2551" w:type="dxa"/>
            <w:vAlign w:val="center"/>
          </w:tcPr>
          <w:p>
            <w:pPr>
              <w:pStyle w:val="15"/>
            </w:pPr>
          </w:p>
        </w:tc>
        <w:tc>
          <w:tcPr>
            <w:tcW w:w="2552" w:type="dxa"/>
            <w:vAlign w:val="center"/>
          </w:tcPr>
          <w:p>
            <w:pPr>
              <w:pStyle w:val="15"/>
            </w:pPr>
            <w:r>
              <w:t>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30299</w:t>
            </w:r>
          </w:p>
        </w:tc>
        <w:tc>
          <w:tcPr>
            <w:tcW w:w="4535" w:type="dxa"/>
            <w:vAlign w:val="center"/>
          </w:tcPr>
          <w:p>
            <w:pPr>
              <w:pStyle w:val="16"/>
            </w:pPr>
            <w:r>
              <w:rPr>
                <w:rFonts w:hint="eastAsia"/>
              </w:rPr>
              <w:t>其他商品和服务支出</w:t>
            </w:r>
          </w:p>
        </w:tc>
        <w:tc>
          <w:tcPr>
            <w:tcW w:w="2551" w:type="dxa"/>
            <w:vAlign w:val="center"/>
          </w:tcPr>
          <w:p>
            <w:pPr>
              <w:pStyle w:val="15"/>
            </w:pPr>
            <w:r>
              <w:t>1.31</w:t>
            </w:r>
          </w:p>
        </w:tc>
        <w:tc>
          <w:tcPr>
            <w:tcW w:w="2551" w:type="dxa"/>
            <w:vAlign w:val="center"/>
          </w:tcPr>
          <w:p>
            <w:pPr>
              <w:pStyle w:val="15"/>
            </w:pPr>
          </w:p>
        </w:tc>
        <w:tc>
          <w:tcPr>
            <w:tcW w:w="2552"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20.29</w:t>
            </w:r>
          </w:p>
        </w:tc>
        <w:tc>
          <w:tcPr>
            <w:tcW w:w="2551" w:type="dxa"/>
            <w:vAlign w:val="center"/>
          </w:tcPr>
          <w:p>
            <w:pPr>
              <w:pStyle w:val="15"/>
            </w:pPr>
            <w:r>
              <w:t>20.29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20.23</w:t>
            </w:r>
          </w:p>
        </w:tc>
        <w:tc>
          <w:tcPr>
            <w:tcW w:w="2551" w:type="dxa"/>
            <w:vAlign w:val="center"/>
          </w:tcPr>
          <w:p>
            <w:pPr>
              <w:pStyle w:val="15"/>
            </w:pPr>
            <w:r>
              <w:t>20.23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0.06</w:t>
            </w:r>
          </w:p>
        </w:tc>
        <w:tc>
          <w:tcPr>
            <w:tcW w:w="2551" w:type="dxa"/>
            <w:vAlign w:val="center"/>
          </w:tcPr>
          <w:p>
            <w:pPr>
              <w:pStyle w:val="15"/>
            </w:pPr>
            <w:r>
              <w:t>0.06</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5"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1</w:t>
            </w:r>
          </w:p>
        </w:tc>
        <w:tc>
          <w:tcPr>
            <w:tcW w:w="3798" w:type="dxa"/>
            <w:vAlign w:val="center"/>
          </w:tcPr>
          <w:p>
            <w:pPr>
              <w:pStyle w:val="16"/>
              <w:rPr>
                <w:lang w:eastAsia="zh-CN"/>
              </w:rPr>
            </w:pPr>
            <w:r>
              <w:rPr>
                <w:rFonts w:hint="eastAsia"/>
                <w:lang w:eastAsia="zh-CN"/>
              </w:rPr>
              <w:t>合计</w:t>
            </w:r>
          </w:p>
        </w:tc>
        <w:tc>
          <w:tcPr>
            <w:tcW w:w="2382" w:type="dxa"/>
            <w:vAlign w:val="center"/>
          </w:tcPr>
          <w:p>
            <w:pPr>
              <w:pStyle w:val="15"/>
              <w:rPr>
                <w:lang w:eastAsia="zh-CN"/>
              </w:rPr>
            </w:pPr>
            <w:r>
              <w:rPr>
                <w:rFonts w:hint="eastAsia"/>
                <w:lang w:eastAsia="zh-CN"/>
              </w:rPr>
              <w:t>3.5</w:t>
            </w:r>
          </w:p>
        </w:tc>
        <w:tc>
          <w:tcPr>
            <w:tcW w:w="2381" w:type="dxa"/>
            <w:vAlign w:val="center"/>
          </w:tcPr>
          <w:p>
            <w:pPr>
              <w:pStyle w:val="15"/>
              <w:rPr>
                <w:lang w:eastAsia="zh-CN"/>
              </w:rPr>
            </w:pPr>
            <w:r>
              <w:rPr>
                <w:rFonts w:hint="eastAsia"/>
                <w:lang w:eastAsia="zh-CN"/>
              </w:rPr>
              <w:t>3.5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pStyle w:val="16"/>
              <w:rPr>
                <w:lang w:eastAsia="zh-CN"/>
              </w:rPr>
            </w:pPr>
            <w:r>
              <w:rPr>
                <w:rFonts w:hint="eastAsia"/>
                <w:lang w:eastAsia="zh-CN"/>
              </w:rP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rPr>
                <w:lang w:eastAsia="zh-CN"/>
              </w:rPr>
            </w:pPr>
            <w:r>
              <w:rPr>
                <w:rFonts w:hint="eastAsia"/>
                <w:lang w:eastAsia="zh-CN"/>
              </w:rPr>
              <w:t>二、公务用车购置及运维费</w:t>
            </w:r>
          </w:p>
        </w:tc>
        <w:tc>
          <w:tcPr>
            <w:tcW w:w="2382" w:type="dxa"/>
            <w:vAlign w:val="center"/>
          </w:tcPr>
          <w:p>
            <w:pPr>
              <w:pStyle w:val="15"/>
              <w:rPr>
                <w:lang w:eastAsia="zh-CN"/>
              </w:rPr>
            </w:pPr>
            <w:r>
              <w:rPr>
                <w:rFonts w:hint="eastAsia"/>
                <w:lang w:eastAsia="zh-CN"/>
              </w:rPr>
              <w:t>1.5</w:t>
            </w:r>
          </w:p>
        </w:tc>
        <w:tc>
          <w:tcPr>
            <w:tcW w:w="2381" w:type="dxa"/>
            <w:vAlign w:val="center"/>
          </w:tcPr>
          <w:p>
            <w:pPr>
              <w:pStyle w:val="15"/>
              <w:rPr>
                <w:lang w:eastAsia="zh-CN"/>
              </w:rPr>
            </w:pPr>
            <w:r>
              <w:rPr>
                <w:rFonts w:hint="eastAsia"/>
                <w:lang w:eastAsia="zh-CN"/>
              </w:rPr>
              <w:t>1.5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rPr>
                <w:lang w:eastAsia="zh-CN"/>
              </w:rPr>
            </w:pPr>
            <w:r>
              <w:rPr>
                <w:rFonts w:hint="eastAsia"/>
                <w:lang w:eastAsia="zh-CN"/>
              </w:rP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ind w:firstLine="420" w:firstLineChars="200"/>
              <w:rPr>
                <w:lang w:eastAsia="zh-CN"/>
              </w:rPr>
            </w:pPr>
            <w:r>
              <w:rPr>
                <w:rFonts w:hint="eastAsia"/>
                <w:lang w:eastAsia="zh-CN"/>
              </w:rPr>
              <w:t>公务用车运行维护费</w:t>
            </w:r>
          </w:p>
        </w:tc>
        <w:tc>
          <w:tcPr>
            <w:tcW w:w="2382" w:type="dxa"/>
            <w:vAlign w:val="center"/>
          </w:tcPr>
          <w:p>
            <w:pPr>
              <w:pStyle w:val="15"/>
              <w:rPr>
                <w:lang w:eastAsia="zh-CN"/>
              </w:rPr>
            </w:pPr>
            <w:r>
              <w:rPr>
                <w:rFonts w:hint="eastAsia"/>
                <w:lang w:eastAsia="zh-CN"/>
              </w:rPr>
              <w:t>1.5</w:t>
            </w:r>
          </w:p>
        </w:tc>
        <w:tc>
          <w:tcPr>
            <w:tcW w:w="2381" w:type="dxa"/>
            <w:vAlign w:val="center"/>
          </w:tcPr>
          <w:p>
            <w:pPr>
              <w:pStyle w:val="15"/>
              <w:rPr>
                <w:lang w:eastAsia="zh-CN"/>
              </w:rPr>
            </w:pPr>
            <w:r>
              <w:rPr>
                <w:rFonts w:hint="eastAsia"/>
                <w:lang w:eastAsia="zh-CN"/>
              </w:rPr>
              <w:t>1.5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rPr>
                <w:lang w:eastAsia="zh-CN"/>
              </w:rPr>
            </w:pPr>
            <w:r>
              <w:rPr>
                <w:rFonts w:hint="eastAsia"/>
                <w:lang w:eastAsia="zh-CN"/>
              </w:rPr>
              <w:t>三、公务接待费</w:t>
            </w:r>
          </w:p>
        </w:tc>
        <w:tc>
          <w:tcPr>
            <w:tcW w:w="2382" w:type="dxa"/>
            <w:vAlign w:val="center"/>
          </w:tcPr>
          <w:p>
            <w:pPr>
              <w:pStyle w:val="15"/>
              <w:rPr>
                <w:lang w:eastAsia="zh-CN"/>
              </w:rPr>
            </w:pPr>
            <w:r>
              <w:rPr>
                <w:rFonts w:hint="eastAsia"/>
                <w:lang w:eastAsia="zh-CN"/>
              </w:rPr>
              <w:t>2</w:t>
            </w:r>
          </w:p>
        </w:tc>
        <w:tc>
          <w:tcPr>
            <w:tcW w:w="2381" w:type="dxa"/>
            <w:vAlign w:val="center"/>
          </w:tcPr>
          <w:p>
            <w:pPr>
              <w:pStyle w:val="15"/>
              <w:rPr>
                <w:lang w:eastAsia="zh-CN"/>
              </w:rPr>
            </w:pPr>
            <w:r>
              <w:rPr>
                <w:rFonts w:hint="eastAsia"/>
                <w:lang w:eastAsia="zh-CN"/>
              </w:rPr>
              <w:t>2</w:t>
            </w:r>
          </w:p>
        </w:tc>
        <w:tc>
          <w:tcPr>
            <w:tcW w:w="2381" w:type="dxa"/>
            <w:vAlign w:val="center"/>
          </w:tcPr>
          <w:p>
            <w:pPr>
              <w:pStyle w:val="15"/>
            </w:pPr>
          </w:p>
        </w:tc>
        <w:tc>
          <w:tcPr>
            <w:tcW w:w="2381" w:type="dxa"/>
            <w:vAlign w:val="center"/>
          </w:tcPr>
          <w:p>
            <w:pPr>
              <w:pStyle w:val="15"/>
            </w:pPr>
          </w:p>
        </w:tc>
      </w:tr>
    </w:tbl>
    <w:p>
      <w:pPr>
        <w:pStyle w:val="17"/>
      </w:pP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中共衡水市委机构编制委员会办公室</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中共衡水市委机构编制委员会办公室</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、《地方预决算公开操作规程》和《关于进一步推进预算公开工作的实施意见》规定，现将中共衡水市委机构编制委员会办公室</w:t>
      </w:r>
      <w:r>
        <w:rPr>
          <w:rFonts w:eastAsia="方正仿宋_GBK"/>
          <w:color w:val="000000"/>
          <w:sz w:val="28"/>
        </w:rPr>
        <w:t>2022</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21"/>
      </w:pPr>
      <w:r>
        <w:rPr>
          <w:rFonts w:hint="eastAsia"/>
        </w:rP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21"/>
      </w:pPr>
      <w:r>
        <w:rPr>
          <w:rFonts w:hint="eastAsia"/>
        </w:rP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21"/>
      </w:pPr>
      <w:r>
        <w:rPr>
          <w:rFonts w:hint="eastAsia"/>
        </w:rPr>
        <w:t>（三）协调市委、市政府各部门的职能配置及其调整；协调市委、市政府部门之间以及市直部门与各县市区之间的职责分工。</w:t>
      </w:r>
    </w:p>
    <w:p>
      <w:pPr>
        <w:pStyle w:val="21"/>
      </w:pPr>
      <w:r>
        <w:rPr>
          <w:rFonts w:hint="eastAsia"/>
        </w:rP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21"/>
      </w:pPr>
      <w:r>
        <w:rPr>
          <w:rFonts w:hint="eastAsia"/>
        </w:rP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21"/>
      </w:pPr>
      <w:r>
        <w:rPr>
          <w:rFonts w:hint="eastAsia"/>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21"/>
      </w:pPr>
      <w:r>
        <w:rPr>
          <w:rFonts w:hint="eastAsia"/>
        </w:rPr>
        <w:t>（七）负责全市开发区（园区）行政管理体制改革工作；审核全市省级以上开发区（园区）职能配置、机构设置、人员编制和领导职数。</w:t>
      </w:r>
    </w:p>
    <w:p>
      <w:pPr>
        <w:pStyle w:val="21"/>
      </w:pPr>
      <w:r>
        <w:rPr>
          <w:rFonts w:hint="eastAsia"/>
        </w:rPr>
        <w:t>（八）负责全市机构编制的总量控制和动态管理；负责机构编制实名制管理工作和市直部门编制使用核准工作；建立健全机构编制部门与有关部门间的协调配合约束机制。</w:t>
      </w:r>
    </w:p>
    <w:p>
      <w:pPr>
        <w:pStyle w:val="21"/>
      </w:pPr>
      <w:r>
        <w:rPr>
          <w:rFonts w:hint="eastAsia"/>
        </w:rPr>
        <w:t>（九）负责对全市行政、事业单位管理体制和机构改革及机构编制执行情况的跟踪评估和监督检查；负责受理违反机构编制法规、纪律的检举、控告和投诉，对违反机构编制法规、纪律问题进行调查处理。</w:t>
      </w:r>
    </w:p>
    <w:p>
      <w:pPr>
        <w:pStyle w:val="21"/>
      </w:pPr>
      <w:r>
        <w:rPr>
          <w:rFonts w:hint="eastAsia"/>
        </w:rP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21"/>
      </w:pPr>
      <w:r>
        <w:rPr>
          <w:rFonts w:hint="eastAsia"/>
        </w:rPr>
        <w:t>（十一）组织开展行政体制改革、事业单位管理体制改革及机构编制管理工作基础性、创新性和前瞻性研究。</w:t>
      </w:r>
    </w:p>
    <w:p>
      <w:pPr>
        <w:pStyle w:val="21"/>
      </w:pPr>
      <w:r>
        <w:rPr>
          <w:rFonts w:hint="eastAsia"/>
        </w:rPr>
        <w:t>（十二）完成市委、市政府和市委机构编制委员会交办的其他任务。</w:t>
      </w:r>
    </w:p>
    <w:p>
      <w:pPr>
        <w:pStyle w:val="21"/>
      </w:pPr>
    </w:p>
    <w:p>
      <w:pPr>
        <w:pStyle w:val="21"/>
        <w:rPr>
          <w:lang w:eastAsia="zh-CN"/>
        </w:rPr>
      </w:pPr>
    </w:p>
    <w:p>
      <w:pPr>
        <w:pStyle w:val="21"/>
        <w:rPr>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8"/>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中共衡水市委机构编制委员会办公室本级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正处（县）级</w:t>
            </w:r>
          </w:p>
        </w:tc>
        <w:tc>
          <w:tcPr>
            <w:tcW w:w="3827" w:type="dxa"/>
            <w:vAlign w:val="center"/>
          </w:tcPr>
          <w:p>
            <w:pPr>
              <w:pStyle w:val="17"/>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pPr>
      <w:r>
        <w:rPr>
          <w:rFonts w:hint="eastAsia" w:eastAsia="方正仿宋_GBK"/>
          <w:color w:val="000000"/>
          <w:sz w:val="28"/>
        </w:rPr>
        <w:t>按照预算管理有关规定，目前我</w:t>
      </w:r>
      <w:r>
        <w:rPr>
          <w:rFonts w:hint="eastAsia" w:eastAsia="方正仿宋_GBK"/>
          <w:color w:val="000000"/>
          <w:sz w:val="28"/>
          <w:lang w:eastAsia="zh-CN"/>
        </w:rPr>
        <w:t>市</w:t>
      </w:r>
      <w:bookmarkStart w:id="18" w:name="_GoBack"/>
      <w:bookmarkEnd w:id="18"/>
      <w:r>
        <w:rPr>
          <w:rFonts w:hint="eastAsia" w:eastAsia="方正仿宋_GBK"/>
          <w:color w:val="000000"/>
          <w:sz w:val="28"/>
        </w:rPr>
        <w:t>部门预算的编制实行综合预算管理，即全部收入和支出都反映在预算中。中共衡水市委机构编制委员会办公室机关及所属事业单位的收支包含在部门预算中。</w:t>
      </w:r>
    </w:p>
    <w:p>
      <w:pPr>
        <w:pStyle w:val="22"/>
      </w:pPr>
      <w:r>
        <w:t>1、收入说明</w:t>
      </w:r>
    </w:p>
    <w:p>
      <w:pPr>
        <w:pStyle w:val="22"/>
      </w:pPr>
      <w:r>
        <w:t>反映本部门当年全部收入。2022年预算收入</w:t>
      </w:r>
      <w:r>
        <w:rPr>
          <w:rFonts w:hint="eastAsia"/>
          <w:lang w:eastAsia="zh-CN"/>
        </w:rPr>
        <w:t>522.72</w:t>
      </w:r>
      <w:r>
        <w:t>万元，其中：一般公共预算收入</w:t>
      </w:r>
      <w:r>
        <w:rPr>
          <w:rFonts w:hint="eastAsia"/>
          <w:lang w:eastAsia="zh-CN"/>
        </w:rPr>
        <w:t>522.72</w:t>
      </w:r>
      <w:r>
        <w:t>万元，基金预算收入0万元，国有资本经营预算收入0万元，财政专户核拨收入0万元，单位资金收入0万元，上年结转结余0万元。</w:t>
      </w:r>
    </w:p>
    <w:p>
      <w:pPr>
        <w:pStyle w:val="22"/>
      </w:pPr>
      <w:r>
        <w:t>2、支出说明</w:t>
      </w:r>
    </w:p>
    <w:p>
      <w:pPr>
        <w:pStyle w:val="22"/>
        <w:rPr>
          <w:lang w:eastAsia="zh-CN"/>
        </w:rPr>
      </w:pPr>
      <w:r>
        <w:t>收支预算总表支出栏、基本支出表、项目支出表按经济分类和支出功能分类科目编制，反映中共</w:t>
      </w:r>
      <w:r>
        <w:rPr>
          <w:rFonts w:hint="eastAsia"/>
          <w:lang w:eastAsia="zh-CN"/>
        </w:rPr>
        <w:t>衡水市</w:t>
      </w:r>
      <w:r>
        <w:t>委机构编制委员会办公室年度部门预算中支出预算的总体情况。2022年支出预算</w:t>
      </w:r>
      <w:r>
        <w:rPr>
          <w:rFonts w:hint="eastAsia"/>
          <w:lang w:eastAsia="zh-CN"/>
        </w:rPr>
        <w:t>522.72</w:t>
      </w:r>
      <w:r>
        <w:t>万元，其中基本支出</w:t>
      </w:r>
      <w:r>
        <w:rPr>
          <w:rFonts w:hint="eastAsia"/>
          <w:lang w:eastAsia="zh-CN"/>
        </w:rPr>
        <w:t>482.72</w:t>
      </w:r>
      <w:r>
        <w:t>万元，包括人员经费</w:t>
      </w:r>
      <w:r>
        <w:rPr>
          <w:rFonts w:hint="eastAsia"/>
          <w:lang w:eastAsia="zh-CN"/>
        </w:rPr>
        <w:t>434.35</w:t>
      </w:r>
      <w:r>
        <w:t>万元和日常公用经费</w:t>
      </w:r>
      <w:r>
        <w:rPr>
          <w:rFonts w:hint="eastAsia"/>
          <w:lang w:eastAsia="zh-CN"/>
        </w:rPr>
        <w:t>48.37</w:t>
      </w:r>
      <w:r>
        <w:t>万元；项目支出</w:t>
      </w:r>
      <w:r>
        <w:rPr>
          <w:rFonts w:hint="eastAsia"/>
          <w:lang w:eastAsia="zh-CN"/>
        </w:rPr>
        <w:t>40</w:t>
      </w:r>
      <w:r>
        <w:t>万元，主要为一般行政管理事务</w:t>
      </w:r>
      <w:r>
        <w:rPr>
          <w:rFonts w:hint="eastAsia"/>
          <w:lang w:eastAsia="zh-CN"/>
        </w:rPr>
        <w:t>40</w:t>
      </w:r>
      <w:r>
        <w:t>万元</w:t>
      </w:r>
      <w:r>
        <w:rPr>
          <w:rFonts w:hint="eastAsia"/>
          <w:lang w:eastAsia="zh-CN"/>
        </w:rPr>
        <w:t>。</w:t>
      </w:r>
    </w:p>
    <w:p>
      <w:pPr>
        <w:pStyle w:val="22"/>
      </w:pPr>
      <w:r>
        <w:t>3、比上年增减情况</w:t>
      </w:r>
    </w:p>
    <w:p>
      <w:pPr>
        <w:pStyle w:val="22"/>
      </w:pPr>
      <w:r>
        <w:t>2022年预算收支安排</w:t>
      </w:r>
      <w:r>
        <w:rPr>
          <w:rFonts w:hint="eastAsia"/>
          <w:lang w:eastAsia="zh-CN"/>
        </w:rPr>
        <w:t>522.72</w:t>
      </w:r>
      <w:r>
        <w:t>万元，较2021年预算</w:t>
      </w:r>
      <w:r>
        <w:rPr>
          <w:rFonts w:hint="eastAsia"/>
          <w:lang w:eastAsia="zh-CN"/>
        </w:rPr>
        <w:t>增加30.09</w:t>
      </w:r>
      <w:r>
        <w:t>万元，其中：基本支出</w:t>
      </w:r>
      <w:r>
        <w:rPr>
          <w:rFonts w:hint="eastAsia"/>
          <w:lang w:eastAsia="zh-CN"/>
        </w:rPr>
        <w:t>增加31.09</w:t>
      </w:r>
      <w:r>
        <w:t>万元，主要为增加人员经费支出；项目支出减少</w:t>
      </w:r>
      <w:r>
        <w:rPr>
          <w:rFonts w:hint="eastAsia"/>
          <w:lang w:eastAsia="zh-CN"/>
        </w:rPr>
        <w:t>1</w:t>
      </w:r>
      <w:r>
        <w:t>万元，主要为</w:t>
      </w:r>
      <w:r>
        <w:rPr>
          <w:rFonts w:hint="eastAsia"/>
          <w:lang w:eastAsia="zh-CN"/>
        </w:rPr>
        <w:t>压减</w:t>
      </w:r>
      <w:r>
        <w:t>相关经费。</w:t>
      </w:r>
    </w:p>
    <w:p>
      <w:pPr>
        <w:pStyle w:val="22"/>
        <w:ind w:firstLine="0"/>
        <w:rPr>
          <w:lang w:eastAsia="zh-CN"/>
        </w:rPr>
      </w:pPr>
    </w:p>
    <w:p>
      <w:pPr>
        <w:spacing w:before="10" w:after="10" w:line="360" w:lineRule="auto"/>
        <w:ind w:firstLine="640"/>
        <w:outlineLvl w:val="2"/>
      </w:pPr>
      <w:bookmarkStart w:id="11" w:name="_Toc_3_3_0000000012"/>
      <w:r>
        <w:rPr>
          <w:rFonts w:hint="eastAsia" w:ascii="黑体" w:hAnsi="黑体" w:eastAsia="黑体" w:cs="黑体"/>
          <w:color w:val="000000"/>
          <w:sz w:val="32"/>
        </w:rPr>
        <w:t>三、机关运行经费安排情况</w:t>
      </w:r>
      <w:bookmarkEnd w:id="11"/>
    </w:p>
    <w:p>
      <w:pPr>
        <w:pStyle w:val="23"/>
      </w:pPr>
      <w:r>
        <w:t>2022年，我办机关运行经费共计安排</w:t>
      </w:r>
      <w:r>
        <w:rPr>
          <w:rFonts w:hint="eastAsia"/>
          <w:lang w:eastAsia="zh-CN"/>
        </w:rPr>
        <w:t>48.37</w:t>
      </w:r>
      <w:r>
        <w:t>万元，主要用于日常维修、办公耗材、文件印刷、调研差旅等日常运行支出。</w:t>
      </w:r>
    </w:p>
    <w:p>
      <w:pPr>
        <w:pStyle w:val="23"/>
      </w:pPr>
    </w:p>
    <w:p>
      <w:pPr>
        <w:spacing w:before="10" w:after="10" w:line="360" w:lineRule="auto"/>
        <w:ind w:firstLine="640"/>
        <w:outlineLvl w:val="2"/>
      </w:pPr>
      <w:bookmarkStart w:id="12" w:name="_Toc_3_3_0000000013"/>
      <w:r>
        <w:rPr>
          <w:rFonts w:hint="eastAsia" w:ascii="黑体" w:hAnsi="黑体" w:eastAsia="黑体" w:cs="黑体"/>
          <w:color w:val="000000"/>
          <w:sz w:val="32"/>
        </w:rPr>
        <w:t>四、财政拨款“三公”经费预算情况及增减变化原因</w:t>
      </w:r>
      <w:bookmarkEnd w:id="12"/>
    </w:p>
    <w:p>
      <w:pPr>
        <w:pStyle w:val="24"/>
      </w:pPr>
      <w:r>
        <w:t>2022年，我办财政拨款“三公”经费预算安排</w:t>
      </w:r>
      <w:r>
        <w:rPr>
          <w:rFonts w:hint="eastAsia"/>
          <w:lang w:eastAsia="zh-CN"/>
        </w:rPr>
        <w:t>3.5</w:t>
      </w:r>
      <w:r>
        <w:t>万元，其中因公出国（境）费</w:t>
      </w:r>
      <w:r>
        <w:rPr>
          <w:rFonts w:hint="eastAsia"/>
          <w:lang w:eastAsia="zh-CN"/>
        </w:rPr>
        <w:t>0</w:t>
      </w:r>
      <w:r>
        <w:t>万元；公务用车购置及运维费</w:t>
      </w:r>
      <w:r>
        <w:rPr>
          <w:rFonts w:hint="eastAsia"/>
          <w:lang w:eastAsia="zh-CN"/>
        </w:rPr>
        <w:t>1.5</w:t>
      </w:r>
      <w:r>
        <w:t>万元（其中：公务用车购置费为0万元，公务用车运维费</w:t>
      </w:r>
      <w:r>
        <w:rPr>
          <w:rFonts w:hint="eastAsia"/>
          <w:lang w:eastAsia="zh-CN"/>
        </w:rPr>
        <w:t>1.5</w:t>
      </w:r>
      <w:r>
        <w:t>万元)；公务接待费</w:t>
      </w:r>
      <w:r>
        <w:rPr>
          <w:rFonts w:hint="eastAsia"/>
          <w:lang w:eastAsia="zh-CN"/>
        </w:rPr>
        <w:t>2</w:t>
      </w:r>
      <w:r>
        <w:t>万元。与2021年持平。</w:t>
      </w:r>
    </w:p>
    <w:p>
      <w:pPr>
        <w:pStyle w:val="24"/>
      </w:pP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pPr>
      <w:r>
        <w:rPr>
          <w:rFonts w:hint="eastAsia" w:eastAsia="方正仿宋_GBK"/>
          <w:color w:val="000000"/>
          <w:sz w:val="28"/>
        </w:rPr>
        <w:t>（一）总体绩效目标</w:t>
      </w:r>
    </w:p>
    <w:p>
      <w:pPr>
        <w:pStyle w:val="25"/>
      </w:pPr>
      <w:r>
        <w:rPr>
          <w:rFonts w:hint="eastAsia"/>
        </w:rPr>
        <w:t>以习近平新时代中国特色社会主义思想为指引，深入贯彻落实党的十九大和十九届二中、三中、四中、五中、六中全会精神，认真贯彻落实新时代中央、省委、市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管住管好用活机构编制，严控总量、统筹使用，科学增减，妥善处理降低行政成本与满足发展需要之间关系，进一步加大改革创新力度，稳步推进事业单位改革，协同推进重点领域体制机制改革，更好的满足人民群众日益增长的美好生活需求，为不断开创新时代建设美丽衡水新局面提供有力体制机制保障。</w:t>
      </w:r>
    </w:p>
    <w:p>
      <w:pPr>
        <w:spacing w:line="500" w:lineRule="exact"/>
        <w:ind w:firstLine="560"/>
      </w:pPr>
      <w:r>
        <w:rPr>
          <w:rFonts w:hint="eastAsia" w:eastAsia="方正仿宋_GBK"/>
          <w:color w:val="000000"/>
          <w:sz w:val="28"/>
        </w:rPr>
        <w:t>（二）分项绩效目标</w:t>
      </w:r>
    </w:p>
    <w:p>
      <w:pPr>
        <w:pStyle w:val="26"/>
      </w:pPr>
      <w:r>
        <w:rPr>
          <w:rFonts w:hint="eastAsia"/>
          <w:lang w:eastAsia="zh-CN"/>
        </w:rPr>
        <w:t>1、</w:t>
      </w:r>
      <w:r>
        <w:rPr>
          <w:rFonts w:hint="eastAsia"/>
        </w:rPr>
        <w:t>优化协同高效，进一步完善党政机构职能体系</w:t>
      </w:r>
    </w:p>
    <w:p>
      <w:pPr>
        <w:pStyle w:val="26"/>
      </w:pPr>
      <w:r>
        <w:rPr>
          <w:rFonts w:hint="eastAsia"/>
        </w:rPr>
        <w:t>绩效目标：整合监管执法职责，健全监管执法体系，完成我市应急管理综合执法队伍组建工作。及时跟进省乡村振兴局</w:t>
      </w:r>
      <w:r>
        <w:t>“</w:t>
      </w:r>
      <w:r>
        <w:rPr>
          <w:rFonts w:hint="eastAsia"/>
        </w:rPr>
        <w:t>三定</w:t>
      </w:r>
      <w:r>
        <w:t>”</w:t>
      </w:r>
      <w:r>
        <w:rPr>
          <w:rFonts w:hint="eastAsia"/>
        </w:rPr>
        <w:t>规定制定步伐，完成我市乡村振兴局</w:t>
      </w:r>
      <w:r>
        <w:t>“</w:t>
      </w:r>
      <w:r>
        <w:rPr>
          <w:rFonts w:hint="eastAsia"/>
        </w:rPr>
        <w:t>三定</w:t>
      </w:r>
      <w:r>
        <w:t>”</w:t>
      </w:r>
      <w:r>
        <w:rPr>
          <w:rFonts w:hint="eastAsia"/>
        </w:rPr>
        <w:t>规定审核工作。完成权责清单的集中调整。</w:t>
      </w:r>
    </w:p>
    <w:p>
      <w:pPr>
        <w:pStyle w:val="26"/>
      </w:pPr>
      <w:r>
        <w:rPr>
          <w:rFonts w:hint="eastAsia"/>
        </w:rPr>
        <w:t>绩效指标：持续深化综合行政执法体制改革，着眼推动部门规范履职尽责，科学审慎调整党政部门内设机构、人员编制和领导职数。并对市县乡三级权责清单编制公开和权责清单制度运行情况适时开展检查和评估工作。</w:t>
      </w:r>
    </w:p>
    <w:p>
      <w:pPr>
        <w:pStyle w:val="26"/>
      </w:pPr>
      <w:r>
        <w:rPr>
          <w:rFonts w:hint="eastAsia"/>
          <w:lang w:eastAsia="zh-CN"/>
        </w:rPr>
        <w:t>2、</w:t>
      </w:r>
      <w:r>
        <w:rPr>
          <w:rFonts w:hint="eastAsia"/>
        </w:rPr>
        <w:t>加大创新力度，扎实推进机构编制重大改革任务</w:t>
      </w:r>
    </w:p>
    <w:p>
      <w:pPr>
        <w:pStyle w:val="26"/>
      </w:pPr>
      <w:r>
        <w:rPr>
          <w:rFonts w:hint="eastAsia"/>
        </w:rPr>
        <w:t>绩效目标：督促指导市县开发区（功能区）管理机构完成整合规范工作，并结合本地实际，合理确定开发区职能定位，创新开发区人员编制管理，建立管理机构动态调整机制。积极创新事业单位机构编制管理模式，实现机构编制有效配置。持续推进基层管理体制改革。</w:t>
      </w:r>
    </w:p>
    <w:p>
      <w:pPr>
        <w:pStyle w:val="26"/>
      </w:pPr>
      <w:r>
        <w:rPr>
          <w:rFonts w:hint="eastAsia"/>
        </w:rPr>
        <w:t>绩效指标：稳步推进深化事业单位改革</w:t>
      </w:r>
      <w:r>
        <w:t>,</w:t>
      </w:r>
      <w:r>
        <w:rPr>
          <w:rFonts w:hint="eastAsia"/>
        </w:rPr>
        <w:t>坚持科学合理调整优化事业单位布局结构和各类编制资源的配备使用，最大限度发挥机构编制资源使用效益。持续推进规范开发区管理机构工作落地落实。聚焦重大民生工程、民心工程，配合教育、科技、卫生、文化等部门，积极推进事业单位机构编制管理改革与创新。进一步理顺基层职责体系、创新编制管理模式、优化完善机构职能，切实提升基层治理的科学化、现代化水平。</w:t>
      </w:r>
    </w:p>
    <w:p>
      <w:pPr>
        <w:pStyle w:val="26"/>
      </w:pPr>
      <w:r>
        <w:rPr>
          <w:rFonts w:hint="eastAsia"/>
          <w:lang w:eastAsia="zh-CN"/>
        </w:rPr>
        <w:t>3、</w:t>
      </w:r>
      <w:r>
        <w:rPr>
          <w:rFonts w:hint="eastAsia"/>
        </w:rPr>
        <w:t>坚持法治思维，不断提高机构编制管理规范化科学化水平</w:t>
      </w:r>
    </w:p>
    <w:p>
      <w:pPr>
        <w:pStyle w:val="26"/>
      </w:pPr>
      <w:r>
        <w:rPr>
          <w:rFonts w:hint="eastAsia"/>
        </w:rPr>
        <w:t>绩效目标：推进机构编制法治建设</w:t>
      </w:r>
      <w:r>
        <w:t>,</w:t>
      </w:r>
      <w:r>
        <w:rPr>
          <w:rFonts w:hint="eastAsia"/>
        </w:rPr>
        <w:t>加强法规制度贯彻落实情况的检查跟踪，实现机构编制工作有章可循、规范有序、科学有效。高质量完成机构编制核查工作，统筹推进机构编制统计和机构编制核查工作，全面摸清机构编制</w:t>
      </w:r>
      <w:r>
        <w:t>“</w:t>
      </w:r>
      <w:r>
        <w:rPr>
          <w:rFonts w:hint="eastAsia"/>
        </w:rPr>
        <w:t>家底</w:t>
      </w:r>
      <w:r>
        <w:t>”</w:t>
      </w:r>
      <w:r>
        <w:rPr>
          <w:rFonts w:hint="eastAsia"/>
        </w:rPr>
        <w:t>，为加强管理和深化改革提供依据和保障。持续推进</w:t>
      </w:r>
      <w:r>
        <w:t>“</w:t>
      </w:r>
      <w:r>
        <w:rPr>
          <w:rFonts w:hint="eastAsia"/>
        </w:rPr>
        <w:t>一网通办</w:t>
      </w:r>
      <w:r>
        <w:t>”</w:t>
      </w:r>
      <w:r>
        <w:rPr>
          <w:rFonts w:hint="eastAsia"/>
        </w:rPr>
        <w:t>改革工作</w:t>
      </w:r>
      <w:r>
        <w:t>,</w:t>
      </w:r>
      <w:r>
        <w:rPr>
          <w:rFonts w:hint="eastAsia"/>
        </w:rPr>
        <w:t>对各系统人事管理数据信息进行核实完善，确保基础数据真实、准确、完整、规范。</w:t>
      </w:r>
    </w:p>
    <w:p>
      <w:pPr>
        <w:pStyle w:val="26"/>
      </w:pPr>
      <w:r>
        <w:rPr>
          <w:rFonts w:hint="eastAsia"/>
        </w:rPr>
        <w:t>绩效指标：持续推进《条例》《规定》及系列配套法规制度的学习宣传和贯彻执行，衔接做好我市相关配套制度文件的制定和修订工作，建立完善机构编制规范性文件前置审核和备案审查机制。客观准确反映机构编制资源的实际配置情况，深入分析数据，查找共性问题。做好核查发现问题的整改落实。归集并确定纳入</w:t>
      </w:r>
      <w:r>
        <w:t>“</w:t>
      </w:r>
      <w:r>
        <w:rPr>
          <w:rFonts w:hint="eastAsia"/>
        </w:rPr>
        <w:t>一网通办</w:t>
      </w:r>
      <w:r>
        <w:t>”</w:t>
      </w:r>
      <w:r>
        <w:rPr>
          <w:rFonts w:hint="eastAsia"/>
        </w:rPr>
        <w:t>信息系统事项。按照</w:t>
      </w:r>
      <w:r>
        <w:t>“</w:t>
      </w:r>
      <w:r>
        <w:rPr>
          <w:rFonts w:hint="eastAsia"/>
        </w:rPr>
        <w:t>系统功能成熟一个、上线运行一个</w:t>
      </w:r>
      <w:r>
        <w:t>”</w:t>
      </w:r>
      <w:r>
        <w:rPr>
          <w:rFonts w:hint="eastAsia"/>
        </w:rPr>
        <w:t>原则，将人事管理业务事项分批次迁移纳入。</w:t>
      </w:r>
    </w:p>
    <w:p>
      <w:pPr>
        <w:pStyle w:val="26"/>
      </w:pPr>
    </w:p>
    <w:p>
      <w:pPr>
        <w:spacing w:line="500" w:lineRule="exact"/>
        <w:ind w:firstLine="560"/>
      </w:pPr>
      <w:r>
        <w:rPr>
          <w:rFonts w:hint="eastAsia" w:eastAsia="方正仿宋_GBK"/>
          <w:color w:val="000000"/>
          <w:sz w:val="28"/>
        </w:rPr>
        <w:t>（三）工作保障措施</w:t>
      </w:r>
    </w:p>
    <w:p>
      <w:pPr>
        <w:pStyle w:val="27"/>
      </w:pPr>
      <w:r>
        <w:rPr>
          <w:rFonts w:hint="eastAsia"/>
          <w:lang w:eastAsia="zh-CN"/>
        </w:rPr>
        <w:t>1、</w:t>
      </w:r>
      <w:r>
        <w:rPr>
          <w:rFonts w:hint="eastAsia"/>
        </w:rPr>
        <w:t>加强组织领导，完善绩效制度。将事前评估、目标管理、运行监控、绩效评价、结果应用等各项改革措施，贯穿于预算管理的全过程，建立健全机构编制预算绩效管理制度。建立统筹协调、分工协作、密切配合、合力推进的工作机制。围绕年度总体绩效目标和分类绩效目标，细化工作方案，明确责任主体、实施进度监控，确保绩效目标如期完成。</w:t>
      </w:r>
    </w:p>
    <w:p>
      <w:pPr>
        <w:pStyle w:val="27"/>
      </w:pPr>
      <w:r>
        <w:rPr>
          <w:rFonts w:hint="eastAsia"/>
          <w:lang w:eastAsia="zh-CN"/>
        </w:rPr>
        <w:t>2、</w:t>
      </w:r>
      <w:r>
        <w:rPr>
          <w:rFonts w:hint="eastAsia"/>
        </w:rPr>
        <w:t>分解细化责任，狠抓任务落实。按照</w:t>
      </w:r>
      <w:r>
        <w:t>“</w:t>
      </w:r>
      <w:r>
        <w:rPr>
          <w:rFonts w:hint="eastAsia"/>
        </w:rPr>
        <w:t>谁花钱、谁负责、谁牵总、谁主责</w:t>
      </w:r>
      <w:r>
        <w:t>”</w:t>
      </w:r>
      <w:r>
        <w:rPr>
          <w:rFonts w:hint="eastAsia"/>
        </w:rPr>
        <w:t>的原则，明确业务科室（中心）的预算绩效管理职责。充分调动项目主管科室（中心）的积极性和主动性，由业务科室（中心）负责科学制定分管项目和内容的中期、终期绩效目标和评价指标，动态收集评估数据信息，开展预算绩效中期评估、终期评价，落实整改措施等。实现定项目就要抓绩效、分资金就要管绩效，确保财务与业务工作的紧密衔接。</w:t>
      </w:r>
    </w:p>
    <w:p>
      <w:pPr>
        <w:pStyle w:val="27"/>
      </w:pPr>
      <w:r>
        <w:rPr>
          <w:rFonts w:hint="eastAsia"/>
          <w:lang w:eastAsia="zh-CN"/>
        </w:rPr>
        <w:t>3、</w:t>
      </w:r>
      <w:r>
        <w:rPr>
          <w:rFonts w:hint="eastAsia"/>
        </w:rPr>
        <w:t>强化预算执行，确保支出进度。强化财政预算执行的刚性约束，及时启动项目和支付资金，加快履行政府采购程序，优化部门预算支出结构，创新财政资金支出思路，合理改进支出方式，确保按照时间节点完成支出任务。更好地发挥财政资金的使用效益。</w:t>
      </w:r>
    </w:p>
    <w:p>
      <w:pPr>
        <w:pStyle w:val="27"/>
      </w:pPr>
      <w:r>
        <w:rPr>
          <w:rFonts w:hint="eastAsia"/>
          <w:lang w:eastAsia="zh-CN"/>
        </w:rPr>
        <w:t>4、</w:t>
      </w:r>
      <w:r>
        <w:rPr>
          <w:rFonts w:hint="eastAsia"/>
        </w:rPr>
        <w:t>强化培训宣传，提升绩效水平。组织开展多轮次业务培训，使全体干部职工牢固树立绩效理念、熟悉管理流程，掌握工作方法，提升管理能力。各科室（中心）要探索工作经验，及时总结机构编制系统预算绩效管理成效，营造良好舆论氛围，提升预算绩效管理科学水平。</w:t>
      </w:r>
    </w:p>
    <w:p>
      <w:pPr>
        <w:pStyle w:val="27"/>
      </w:pPr>
      <w:r>
        <w:rPr>
          <w:rFonts w:hint="eastAsia"/>
          <w:lang w:eastAsia="zh-CN"/>
        </w:rPr>
        <w:t>5、</w:t>
      </w:r>
      <w:r>
        <w:rPr>
          <w:rFonts w:hint="eastAsia"/>
        </w:rPr>
        <w:t>加大公开力度，提升评价效果。借鉴市直部门先进绩效评价经验，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r>
        <w:t xml:space="preserve"> </w:t>
      </w:r>
      <w:r>
        <w:rPr>
          <w:rFonts w:hint="eastAsia"/>
        </w:rPr>
        <w:t>（六）规范财务资产管理。完善财务管理制度，严格审批程序，加强固定资产登记、使用和报废处置管理，做到支出合理，物尽其用。</w:t>
      </w: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第二部分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pStyle w:val="28"/>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、机构编制管理工作经费绩效目标表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9"/>
            </w:pPr>
            <w:r>
              <w:rPr>
                <w:rFonts w:hint="eastAsia"/>
              </w:rPr>
              <w:t>绩效目标</w:t>
            </w:r>
          </w:p>
        </w:tc>
        <w:tc>
          <w:tcPr>
            <w:tcW w:w="12756" w:type="dxa"/>
            <w:tcBorders>
              <w:top w:val="single" w:color="000000" w:sz="6" w:space="0"/>
              <w:bottom w:val="single" w:color="FFFFFF" w:sz="6" w:space="0"/>
            </w:tcBorders>
            <w:vAlign w:val="center"/>
          </w:tcPr>
          <w:p>
            <w:pPr>
              <w:pStyle w:val="30"/>
              <w:rPr>
                <w:lang w:eastAsia="zh-CN"/>
              </w:rPr>
            </w:pPr>
            <w:r>
              <w:t>1</w:t>
            </w:r>
            <w:r>
              <w:rPr>
                <w:rFonts w:hint="eastAsia"/>
              </w:rPr>
              <w:t>、持续推进开发区管理体制改革，进一步规范开发区职能定位，完善管理体制，优化机构设置</w:t>
            </w:r>
            <w:r>
              <w:rPr>
                <w:rFonts w:hint="eastAsia"/>
                <w:lang w:eastAsia="zh-CN"/>
              </w:rPr>
              <w:t>。</w:t>
            </w:r>
          </w:p>
          <w:p>
            <w:pPr>
              <w:pStyle w:val="30"/>
              <w:rPr>
                <w:lang w:eastAsia="zh-CN"/>
              </w:rPr>
            </w:pPr>
            <w:r>
              <w:t>2</w:t>
            </w:r>
            <w:r>
              <w:rPr>
                <w:rFonts w:hint="eastAsia"/>
              </w:rPr>
              <w:t>、完成行政管理体制改革方案和机构编制制度等规范性文件的拟定工作</w:t>
            </w:r>
            <w:r>
              <w:rPr>
                <w:rFonts w:hint="eastAsia"/>
                <w:lang w:eastAsia="zh-CN"/>
              </w:rPr>
              <w:t>。</w:t>
            </w:r>
          </w:p>
          <w:p>
            <w:pPr>
              <w:pStyle w:val="30"/>
              <w:rPr>
                <w:lang w:eastAsia="zh-CN"/>
              </w:rPr>
            </w:pPr>
            <w:r>
              <w:t>3</w:t>
            </w:r>
            <w:r>
              <w:rPr>
                <w:rFonts w:hint="eastAsia"/>
              </w:rPr>
              <w:t>、做好中央和省新出台机构编制法规制度的宣传和培训工作</w:t>
            </w:r>
            <w:r>
              <w:rPr>
                <w:rFonts w:hint="eastAsia"/>
                <w:lang w:eastAsia="zh-CN"/>
              </w:rPr>
              <w:t>。</w:t>
            </w:r>
          </w:p>
          <w:p>
            <w:pPr>
              <w:pStyle w:val="30"/>
              <w:rPr>
                <w:lang w:eastAsia="zh-CN"/>
              </w:rPr>
            </w:pPr>
            <w:r>
              <w:t>4</w:t>
            </w:r>
            <w:r>
              <w:rPr>
                <w:rFonts w:hint="eastAsia"/>
              </w:rPr>
              <w:t>、持续完善和推进政府部门权责清单制度建设工作</w:t>
            </w:r>
            <w:r>
              <w:rPr>
                <w:rFonts w:hint="eastAsia"/>
                <w:lang w:eastAsia="zh-CN"/>
              </w:rPr>
              <w:t>。</w:t>
            </w:r>
          </w:p>
          <w:p>
            <w:pPr>
              <w:pStyle w:val="30"/>
            </w:pPr>
            <w:r>
              <w:t>5</w:t>
            </w:r>
            <w:r>
              <w:rPr>
                <w:rFonts w:hint="eastAsia"/>
              </w:rPr>
              <w:t>、做好机构编制网站的运行管理和相关行政复议、行政应诉工作。</w:t>
            </w:r>
            <w:r>
              <w:t xml:space="preserve">                                                                                                                           </w:t>
            </w:r>
          </w:p>
          <w:p>
            <w:pPr>
              <w:pStyle w:val="30"/>
            </w:pPr>
            <w:r>
              <w:t>6</w:t>
            </w:r>
            <w:r>
              <w:rPr>
                <w:rFonts w:hint="eastAsia"/>
              </w:rPr>
              <w:t>、提升</w:t>
            </w:r>
            <w:r>
              <w:t>47</w:t>
            </w:r>
            <w:r>
              <w:rPr>
                <w:rFonts w:hint="eastAsia"/>
              </w:rPr>
              <w:t>个党政部门机构编制业务水平。研究解决工作中遇到的新情况新问题，切实提升全市机构编制工作科学化、规范化、法制化水平。</w:t>
            </w:r>
            <w:r>
              <w:t xml:space="preserve">                                                                                                                                                                </w:t>
            </w:r>
          </w:p>
          <w:p>
            <w:pPr>
              <w:pStyle w:val="30"/>
            </w:pPr>
            <w:r>
              <w:t>7</w:t>
            </w:r>
            <w:r>
              <w:rPr>
                <w:rFonts w:hint="eastAsia"/>
              </w:rPr>
              <w:t>、如期保质完成机构编制核查工作，审核、完善机构编制核查数据</w:t>
            </w:r>
            <w:r>
              <w:rPr>
                <w:rFonts w:hint="eastAsia"/>
                <w:lang w:eastAsia="zh-CN"/>
              </w:rPr>
              <w:t>。</w:t>
            </w:r>
            <w:r>
              <w:t xml:space="preserve">                                                                                                                        </w:t>
            </w:r>
          </w:p>
          <w:p>
            <w:pPr>
              <w:pStyle w:val="30"/>
            </w:pPr>
            <w:r>
              <w:t>8</w:t>
            </w:r>
            <w:r>
              <w:rPr>
                <w:rFonts w:hint="eastAsia"/>
              </w:rPr>
              <w:t>、保证衡水市市直党政机关及事业单位中文域名全部处于有效状态。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rPr>
                <w:rFonts w:hint="eastAsia"/>
              </w:rPr>
              <w:t>一级指标</w:t>
            </w:r>
          </w:p>
        </w:tc>
        <w:tc>
          <w:tcPr>
            <w:tcW w:w="2268" w:type="dxa"/>
            <w:vAlign w:val="center"/>
          </w:tcPr>
          <w:p>
            <w:pPr>
              <w:pStyle w:val="29"/>
            </w:pPr>
            <w:r>
              <w:rPr>
                <w:rFonts w:hint="eastAsia"/>
              </w:rPr>
              <w:t>二级指标</w:t>
            </w:r>
          </w:p>
        </w:tc>
        <w:tc>
          <w:tcPr>
            <w:tcW w:w="2835" w:type="dxa"/>
            <w:vAlign w:val="center"/>
          </w:tcPr>
          <w:p>
            <w:pPr>
              <w:pStyle w:val="29"/>
            </w:pPr>
            <w:r>
              <w:rPr>
                <w:rFonts w:hint="eastAsia"/>
              </w:rPr>
              <w:t>三级指标</w:t>
            </w:r>
          </w:p>
        </w:tc>
        <w:tc>
          <w:tcPr>
            <w:tcW w:w="2835" w:type="dxa"/>
            <w:vAlign w:val="center"/>
          </w:tcPr>
          <w:p>
            <w:pPr>
              <w:pStyle w:val="29"/>
            </w:pPr>
            <w:r>
              <w:rPr>
                <w:rFonts w:hint="eastAsia"/>
              </w:rPr>
              <w:t>绩效指标描述</w:t>
            </w:r>
          </w:p>
        </w:tc>
        <w:tc>
          <w:tcPr>
            <w:tcW w:w="2551" w:type="dxa"/>
            <w:vAlign w:val="center"/>
          </w:tcPr>
          <w:p>
            <w:pPr>
              <w:pStyle w:val="29"/>
            </w:pPr>
            <w:r>
              <w:rPr>
                <w:rFonts w:hint="eastAsia"/>
              </w:rPr>
              <w:t>指标值</w:t>
            </w:r>
          </w:p>
        </w:tc>
        <w:tc>
          <w:tcPr>
            <w:tcW w:w="2268" w:type="dxa"/>
            <w:vAlign w:val="center"/>
          </w:tcPr>
          <w:p>
            <w:pPr>
              <w:pStyle w:val="29"/>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产出指标</w:t>
            </w:r>
          </w:p>
        </w:tc>
        <w:tc>
          <w:tcPr>
            <w:tcW w:w="2268" w:type="dxa"/>
            <w:vAlign w:val="center"/>
          </w:tcPr>
          <w:p>
            <w:pPr>
              <w:pStyle w:val="30"/>
            </w:pPr>
            <w:r>
              <w:rPr>
                <w:rFonts w:hint="eastAsia"/>
              </w:rPr>
              <w:t>质量指标</w:t>
            </w:r>
          </w:p>
        </w:tc>
        <w:tc>
          <w:tcPr>
            <w:tcW w:w="2835" w:type="dxa"/>
            <w:vAlign w:val="center"/>
          </w:tcPr>
          <w:p>
            <w:pPr>
              <w:pStyle w:val="30"/>
            </w:pPr>
            <w:r>
              <w:rPr>
                <w:rFonts w:hint="eastAsia"/>
              </w:rPr>
              <w:t>中文域名有效率</w:t>
            </w:r>
          </w:p>
        </w:tc>
        <w:tc>
          <w:tcPr>
            <w:tcW w:w="2835" w:type="dxa"/>
            <w:vAlign w:val="center"/>
          </w:tcPr>
          <w:p>
            <w:pPr>
              <w:pStyle w:val="30"/>
            </w:pPr>
            <w:r>
              <w:rPr>
                <w:rFonts w:hint="eastAsia"/>
              </w:rPr>
              <w:t>保证衡水市市直党政机关、事业单位中文域名处于有效状态</w:t>
            </w:r>
          </w:p>
        </w:tc>
        <w:tc>
          <w:tcPr>
            <w:tcW w:w="2551" w:type="dxa"/>
            <w:vAlign w:val="center"/>
          </w:tcPr>
          <w:p>
            <w:pPr>
              <w:pStyle w:val="30"/>
            </w:pPr>
            <w:r>
              <w:t>100%</w:t>
            </w:r>
          </w:p>
        </w:tc>
        <w:tc>
          <w:tcPr>
            <w:tcW w:w="2268" w:type="dxa"/>
            <w:vAlign w:val="center"/>
          </w:tcPr>
          <w:p>
            <w:pPr>
              <w:pStyle w:val="30"/>
            </w:pPr>
            <w:r>
              <w:rPr>
                <w:rFonts w:hint="eastAsia"/>
              </w:rPr>
              <w:t>根据中央编办，中央网信办《关于做好党政机关网站开办审核、资格复核和网站标识管理工作的通知》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成本指标</w:t>
            </w:r>
          </w:p>
        </w:tc>
        <w:tc>
          <w:tcPr>
            <w:tcW w:w="2835" w:type="dxa"/>
            <w:vAlign w:val="center"/>
          </w:tcPr>
          <w:p>
            <w:pPr>
              <w:pStyle w:val="30"/>
            </w:pPr>
            <w:r>
              <w:rPr>
                <w:rFonts w:hint="eastAsia"/>
              </w:rPr>
              <w:t>受训人均成本</w:t>
            </w:r>
          </w:p>
        </w:tc>
        <w:tc>
          <w:tcPr>
            <w:tcW w:w="2835" w:type="dxa"/>
            <w:vAlign w:val="center"/>
          </w:tcPr>
          <w:p>
            <w:pPr>
              <w:pStyle w:val="30"/>
            </w:pPr>
            <w:r>
              <w:rPr>
                <w:rFonts w:hint="eastAsia"/>
              </w:rPr>
              <w:t>参加培训人员人均费用</w:t>
            </w:r>
          </w:p>
        </w:tc>
        <w:tc>
          <w:tcPr>
            <w:tcW w:w="2551" w:type="dxa"/>
            <w:vAlign w:val="center"/>
          </w:tcPr>
          <w:p>
            <w:pPr>
              <w:pStyle w:val="30"/>
            </w:pPr>
            <w:r>
              <w:rPr>
                <w:rFonts w:hint="eastAsia"/>
              </w:rPr>
              <w:t>≤</w:t>
            </w:r>
            <w:r>
              <w:t>330</w:t>
            </w:r>
            <w:r>
              <w:rPr>
                <w:rFonts w:hint="eastAsia"/>
              </w:rPr>
              <w:t>元</w:t>
            </w:r>
          </w:p>
        </w:tc>
        <w:tc>
          <w:tcPr>
            <w:tcW w:w="2268" w:type="dxa"/>
            <w:vAlign w:val="center"/>
          </w:tcPr>
          <w:p>
            <w:pPr>
              <w:pStyle w:val="30"/>
            </w:pPr>
            <w:r>
              <w:rPr>
                <w:rFonts w:hint="eastAsia"/>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时效指标</w:t>
            </w:r>
          </w:p>
        </w:tc>
        <w:tc>
          <w:tcPr>
            <w:tcW w:w="2835" w:type="dxa"/>
            <w:vAlign w:val="center"/>
          </w:tcPr>
          <w:p>
            <w:pPr>
              <w:pStyle w:val="30"/>
            </w:pPr>
            <w:r>
              <w:rPr>
                <w:rFonts w:hint="eastAsia"/>
              </w:rPr>
              <w:t>采购计划完成率</w:t>
            </w:r>
          </w:p>
        </w:tc>
        <w:tc>
          <w:tcPr>
            <w:tcW w:w="2835" w:type="dxa"/>
            <w:vAlign w:val="center"/>
          </w:tcPr>
          <w:p>
            <w:pPr>
              <w:pStyle w:val="30"/>
            </w:pPr>
            <w:r>
              <w:rPr>
                <w:rFonts w:hint="eastAsia"/>
              </w:rPr>
              <w:t>按照工作需要和计划完成采购的比率</w:t>
            </w:r>
          </w:p>
        </w:tc>
        <w:tc>
          <w:tcPr>
            <w:tcW w:w="2551" w:type="dxa"/>
            <w:vAlign w:val="center"/>
          </w:tcPr>
          <w:p>
            <w:pPr>
              <w:pStyle w:val="30"/>
            </w:pPr>
            <w:r>
              <w:rPr>
                <w:rFonts w:hint="eastAsia"/>
              </w:rPr>
              <w:t>≥</w:t>
            </w:r>
            <w:r>
              <w:t>80%</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数量指标</w:t>
            </w:r>
          </w:p>
        </w:tc>
        <w:tc>
          <w:tcPr>
            <w:tcW w:w="2835" w:type="dxa"/>
            <w:vAlign w:val="center"/>
          </w:tcPr>
          <w:p>
            <w:pPr>
              <w:pStyle w:val="30"/>
            </w:pPr>
            <w:r>
              <w:rPr>
                <w:rFonts w:hint="eastAsia"/>
              </w:rPr>
              <w:t>培训期数</w:t>
            </w:r>
          </w:p>
        </w:tc>
        <w:tc>
          <w:tcPr>
            <w:tcW w:w="2835" w:type="dxa"/>
            <w:vAlign w:val="center"/>
          </w:tcPr>
          <w:p>
            <w:pPr>
              <w:pStyle w:val="30"/>
            </w:pPr>
            <w:r>
              <w:rPr>
                <w:rFonts w:hint="eastAsia"/>
              </w:rPr>
              <w:t>组织召开</w:t>
            </w:r>
            <w:r>
              <w:t>2-4</w:t>
            </w:r>
            <w:r>
              <w:rPr>
                <w:rFonts w:hint="eastAsia"/>
              </w:rPr>
              <w:t>次机构编制业务培训</w:t>
            </w:r>
          </w:p>
        </w:tc>
        <w:tc>
          <w:tcPr>
            <w:tcW w:w="2551" w:type="dxa"/>
            <w:vAlign w:val="center"/>
          </w:tcPr>
          <w:p>
            <w:pPr>
              <w:pStyle w:val="30"/>
            </w:pPr>
            <w:r>
              <w:rPr>
                <w:rFonts w:hint="eastAsia"/>
              </w:rPr>
              <w:t>≥</w:t>
            </w:r>
            <w:r>
              <w:t>2</w:t>
            </w:r>
            <w:r>
              <w:rPr>
                <w:rFonts w:hint="eastAsia"/>
              </w:rPr>
              <w:t>次</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效益指标</w:t>
            </w: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提供体制机制保障</w:t>
            </w:r>
          </w:p>
        </w:tc>
        <w:tc>
          <w:tcPr>
            <w:tcW w:w="2835" w:type="dxa"/>
            <w:vAlign w:val="center"/>
          </w:tcPr>
          <w:p>
            <w:pPr>
              <w:pStyle w:val="30"/>
            </w:pPr>
            <w:r>
              <w:rPr>
                <w:rFonts w:hint="eastAsia"/>
              </w:rPr>
              <w:t>促进公益事业发展</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社会影响力</w:t>
            </w:r>
          </w:p>
        </w:tc>
        <w:tc>
          <w:tcPr>
            <w:tcW w:w="2835" w:type="dxa"/>
            <w:vAlign w:val="center"/>
          </w:tcPr>
          <w:p>
            <w:pPr>
              <w:pStyle w:val="30"/>
            </w:pPr>
            <w:r>
              <w:rPr>
                <w:rFonts w:hint="eastAsia"/>
              </w:rPr>
              <w:t>各项改革任务对提升社会管理能力的效果</w:t>
            </w:r>
          </w:p>
        </w:tc>
        <w:tc>
          <w:tcPr>
            <w:tcW w:w="2551" w:type="dxa"/>
            <w:vAlign w:val="center"/>
          </w:tcPr>
          <w:p>
            <w:pPr>
              <w:pStyle w:val="30"/>
            </w:pPr>
            <w:r>
              <w:rPr>
                <w:rFonts w:hint="eastAsia"/>
              </w:rPr>
              <w:t>≥</w:t>
            </w:r>
            <w:r>
              <w:t>80%</w:t>
            </w:r>
          </w:p>
        </w:tc>
        <w:tc>
          <w:tcPr>
            <w:tcW w:w="2268" w:type="dxa"/>
            <w:vAlign w:val="center"/>
          </w:tcPr>
          <w:p>
            <w:pPr>
              <w:pStyle w:val="30"/>
            </w:pPr>
            <w:r>
              <w:rPr>
                <w:rFonts w:hint="eastAsia"/>
              </w:rPr>
              <w:t>根据改革完成情况确定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rPr>
                <w:rFonts w:hint="eastAsia"/>
              </w:rPr>
              <w:t>满意度指标</w:t>
            </w:r>
          </w:p>
        </w:tc>
        <w:tc>
          <w:tcPr>
            <w:tcW w:w="2268" w:type="dxa"/>
            <w:vAlign w:val="center"/>
          </w:tcPr>
          <w:p>
            <w:pPr>
              <w:pStyle w:val="30"/>
            </w:pPr>
            <w:r>
              <w:rPr>
                <w:rFonts w:hint="eastAsia"/>
              </w:rPr>
              <w:t>服务对象满意度指标</w:t>
            </w:r>
          </w:p>
        </w:tc>
        <w:tc>
          <w:tcPr>
            <w:tcW w:w="2835" w:type="dxa"/>
            <w:vAlign w:val="center"/>
          </w:tcPr>
          <w:p>
            <w:pPr>
              <w:pStyle w:val="30"/>
            </w:pPr>
            <w:r>
              <w:rPr>
                <w:rFonts w:hint="eastAsia"/>
              </w:rPr>
              <w:t>服务对象满意度</w:t>
            </w:r>
          </w:p>
        </w:tc>
        <w:tc>
          <w:tcPr>
            <w:tcW w:w="2835" w:type="dxa"/>
            <w:vAlign w:val="center"/>
          </w:tcPr>
          <w:p>
            <w:pPr>
              <w:pStyle w:val="30"/>
            </w:pPr>
            <w:r>
              <w:rPr>
                <w:rFonts w:hint="eastAsia"/>
              </w:rPr>
              <w:t>市政府部门、各级开发区、乡镇（街道）及其服务对象对改革工作的满意程度</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满意度测评</w:t>
            </w:r>
          </w:p>
        </w:tc>
      </w:tr>
    </w:tbl>
    <w:p>
      <w:pPr>
        <w:pStyle w:val="28"/>
      </w:pPr>
    </w:p>
    <w:p>
      <w:pPr>
        <w:pStyle w:val="28"/>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、机构编制统计和实名制管理工作经费绩效目标表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9"/>
            </w:pPr>
            <w:r>
              <w:rPr>
                <w:rFonts w:hint="eastAsia"/>
              </w:rPr>
              <w:t>绩效目标</w:t>
            </w:r>
          </w:p>
        </w:tc>
        <w:tc>
          <w:tcPr>
            <w:tcW w:w="12756" w:type="dxa"/>
            <w:tcBorders>
              <w:top w:val="single" w:color="000000" w:sz="6" w:space="0"/>
              <w:bottom w:val="single" w:color="FFFFFF" w:sz="6" w:space="0"/>
            </w:tcBorders>
            <w:vAlign w:val="center"/>
          </w:tcPr>
          <w:p>
            <w:pPr>
              <w:pStyle w:val="30"/>
              <w:rPr>
                <w:lang w:eastAsia="zh-CN"/>
              </w:rPr>
            </w:pPr>
            <w:r>
              <w:t>1</w:t>
            </w:r>
            <w:r>
              <w:rPr>
                <w:rFonts w:hint="eastAsia"/>
                <w:lang w:eastAsia="zh-CN"/>
              </w:rPr>
              <w:t>、</w:t>
            </w:r>
            <w:r>
              <w:rPr>
                <w:rFonts w:hint="eastAsia"/>
              </w:rPr>
              <w:t>如期保质完成机构编制统计工作，夯实机构编制统计数据基础</w:t>
            </w:r>
            <w:r>
              <w:rPr>
                <w:rFonts w:hint="eastAsia"/>
                <w:lang w:eastAsia="zh-CN"/>
              </w:rPr>
              <w:t>。</w:t>
            </w:r>
          </w:p>
          <w:p>
            <w:pPr>
              <w:pStyle w:val="30"/>
              <w:rPr>
                <w:lang w:eastAsia="zh-CN"/>
              </w:rPr>
            </w:pPr>
            <w:r>
              <w:t>2</w:t>
            </w:r>
            <w:r>
              <w:rPr>
                <w:rFonts w:hint="eastAsia"/>
                <w:lang w:eastAsia="zh-CN"/>
              </w:rPr>
              <w:t>、</w:t>
            </w:r>
            <w:r>
              <w:rPr>
                <w:rFonts w:hint="eastAsia"/>
              </w:rPr>
              <w:t>进一步加强机构编制实名制管理，加大业务培训指导力度，加强机构编制实名制管理系统规范管理</w:t>
            </w:r>
            <w:r>
              <w:rPr>
                <w:rFonts w:hint="eastAsia"/>
                <w:lang w:eastAsia="zh-CN"/>
              </w:rPr>
              <w:t>。</w:t>
            </w:r>
          </w:p>
          <w:p>
            <w:pPr>
              <w:pStyle w:val="30"/>
            </w:pPr>
            <w:r>
              <w:t>3</w:t>
            </w:r>
            <w:r>
              <w:rPr>
                <w:rFonts w:hint="eastAsia"/>
                <w:lang w:eastAsia="zh-CN"/>
              </w:rPr>
              <w:t>、</w:t>
            </w:r>
            <w:r>
              <w:rPr>
                <w:rFonts w:hint="eastAsia"/>
              </w:rPr>
              <w:t>落实机关事业单位“一网通办”改革工作任务。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rPr>
                <w:rFonts w:hint="eastAsia"/>
              </w:rPr>
              <w:t>一级指标</w:t>
            </w:r>
          </w:p>
        </w:tc>
        <w:tc>
          <w:tcPr>
            <w:tcW w:w="2268" w:type="dxa"/>
            <w:vAlign w:val="center"/>
          </w:tcPr>
          <w:p>
            <w:pPr>
              <w:pStyle w:val="29"/>
            </w:pPr>
            <w:r>
              <w:rPr>
                <w:rFonts w:hint="eastAsia"/>
              </w:rPr>
              <w:t>二级指标</w:t>
            </w:r>
          </w:p>
        </w:tc>
        <w:tc>
          <w:tcPr>
            <w:tcW w:w="2835" w:type="dxa"/>
            <w:vAlign w:val="center"/>
          </w:tcPr>
          <w:p>
            <w:pPr>
              <w:pStyle w:val="29"/>
            </w:pPr>
            <w:r>
              <w:rPr>
                <w:rFonts w:hint="eastAsia"/>
              </w:rPr>
              <w:t>三级指标</w:t>
            </w:r>
          </w:p>
        </w:tc>
        <w:tc>
          <w:tcPr>
            <w:tcW w:w="2835" w:type="dxa"/>
            <w:vAlign w:val="center"/>
          </w:tcPr>
          <w:p>
            <w:pPr>
              <w:pStyle w:val="29"/>
            </w:pPr>
            <w:r>
              <w:rPr>
                <w:rFonts w:hint="eastAsia"/>
              </w:rPr>
              <w:t>绩效指标描述</w:t>
            </w:r>
          </w:p>
        </w:tc>
        <w:tc>
          <w:tcPr>
            <w:tcW w:w="2551" w:type="dxa"/>
            <w:vAlign w:val="center"/>
          </w:tcPr>
          <w:p>
            <w:pPr>
              <w:pStyle w:val="29"/>
            </w:pPr>
            <w:r>
              <w:rPr>
                <w:rFonts w:hint="eastAsia"/>
              </w:rPr>
              <w:t>指标值</w:t>
            </w:r>
          </w:p>
        </w:tc>
        <w:tc>
          <w:tcPr>
            <w:tcW w:w="2268" w:type="dxa"/>
            <w:vAlign w:val="center"/>
          </w:tcPr>
          <w:p>
            <w:pPr>
              <w:pStyle w:val="29"/>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产出指标</w:t>
            </w:r>
          </w:p>
        </w:tc>
        <w:tc>
          <w:tcPr>
            <w:tcW w:w="2268" w:type="dxa"/>
            <w:vAlign w:val="center"/>
          </w:tcPr>
          <w:p>
            <w:pPr>
              <w:pStyle w:val="30"/>
            </w:pPr>
            <w:r>
              <w:rPr>
                <w:rFonts w:hint="eastAsia"/>
              </w:rPr>
              <w:t>质量指标</w:t>
            </w:r>
          </w:p>
        </w:tc>
        <w:tc>
          <w:tcPr>
            <w:tcW w:w="2835" w:type="dxa"/>
            <w:vAlign w:val="center"/>
          </w:tcPr>
          <w:p>
            <w:pPr>
              <w:pStyle w:val="30"/>
            </w:pPr>
            <w:r>
              <w:rPr>
                <w:rFonts w:hint="eastAsia"/>
              </w:rPr>
              <w:t>优良率</w:t>
            </w:r>
          </w:p>
        </w:tc>
        <w:tc>
          <w:tcPr>
            <w:tcW w:w="2835" w:type="dxa"/>
            <w:vAlign w:val="center"/>
          </w:tcPr>
          <w:p>
            <w:pPr>
              <w:pStyle w:val="30"/>
            </w:pPr>
            <w:r>
              <w:rPr>
                <w:rFonts w:hint="eastAsia"/>
              </w:rPr>
              <w:t>各类型编制数底数明晰，数据准确</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时效指标</w:t>
            </w:r>
          </w:p>
        </w:tc>
        <w:tc>
          <w:tcPr>
            <w:tcW w:w="2835" w:type="dxa"/>
            <w:vAlign w:val="center"/>
          </w:tcPr>
          <w:p>
            <w:pPr>
              <w:pStyle w:val="30"/>
            </w:pPr>
            <w:r>
              <w:rPr>
                <w:rFonts w:hint="eastAsia"/>
              </w:rPr>
              <w:t>完成率</w:t>
            </w:r>
          </w:p>
        </w:tc>
        <w:tc>
          <w:tcPr>
            <w:tcW w:w="2835" w:type="dxa"/>
            <w:vAlign w:val="center"/>
          </w:tcPr>
          <w:p>
            <w:pPr>
              <w:pStyle w:val="30"/>
            </w:pPr>
            <w:r>
              <w:rPr>
                <w:rFonts w:hint="eastAsia"/>
              </w:rPr>
              <w:t>实名制管理系统数据完善，调整及时</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成本指标</w:t>
            </w:r>
          </w:p>
        </w:tc>
        <w:tc>
          <w:tcPr>
            <w:tcW w:w="2835" w:type="dxa"/>
            <w:vAlign w:val="center"/>
          </w:tcPr>
          <w:p>
            <w:pPr>
              <w:pStyle w:val="30"/>
            </w:pPr>
            <w:r>
              <w:rPr>
                <w:rFonts w:hint="eastAsia"/>
              </w:rPr>
              <w:t>受训人均成本</w:t>
            </w:r>
          </w:p>
        </w:tc>
        <w:tc>
          <w:tcPr>
            <w:tcW w:w="2835" w:type="dxa"/>
            <w:vAlign w:val="center"/>
          </w:tcPr>
          <w:p>
            <w:pPr>
              <w:pStyle w:val="30"/>
            </w:pPr>
            <w:r>
              <w:rPr>
                <w:rFonts w:hint="eastAsia"/>
              </w:rPr>
              <w:t>参加培训人员人均费用</w:t>
            </w:r>
          </w:p>
        </w:tc>
        <w:tc>
          <w:tcPr>
            <w:tcW w:w="2551" w:type="dxa"/>
            <w:vAlign w:val="center"/>
          </w:tcPr>
          <w:p>
            <w:pPr>
              <w:pStyle w:val="30"/>
            </w:pPr>
            <w:r>
              <w:rPr>
                <w:rFonts w:hint="eastAsia"/>
              </w:rPr>
              <w:t>≤</w:t>
            </w:r>
            <w:r>
              <w:t>330</w:t>
            </w:r>
            <w:r>
              <w:rPr>
                <w:rFonts w:hint="eastAsia"/>
              </w:rPr>
              <w:t>元</w:t>
            </w:r>
          </w:p>
        </w:tc>
        <w:tc>
          <w:tcPr>
            <w:tcW w:w="2268" w:type="dxa"/>
            <w:vAlign w:val="center"/>
          </w:tcPr>
          <w:p>
            <w:pPr>
              <w:pStyle w:val="30"/>
            </w:pPr>
            <w:r>
              <w:rPr>
                <w:rFonts w:hint="eastAsia"/>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数量指标</w:t>
            </w:r>
          </w:p>
        </w:tc>
        <w:tc>
          <w:tcPr>
            <w:tcW w:w="2835" w:type="dxa"/>
            <w:vAlign w:val="center"/>
          </w:tcPr>
          <w:p>
            <w:pPr>
              <w:pStyle w:val="30"/>
            </w:pPr>
            <w:r>
              <w:rPr>
                <w:rFonts w:hint="eastAsia"/>
              </w:rPr>
              <w:t>培训期数</w:t>
            </w:r>
          </w:p>
        </w:tc>
        <w:tc>
          <w:tcPr>
            <w:tcW w:w="2835" w:type="dxa"/>
            <w:vAlign w:val="center"/>
          </w:tcPr>
          <w:p>
            <w:pPr>
              <w:pStyle w:val="30"/>
            </w:pPr>
            <w:r>
              <w:rPr>
                <w:rFonts w:hint="eastAsia"/>
              </w:rPr>
              <w:t>组织召开</w:t>
            </w:r>
            <w:r>
              <w:t>2-3</w:t>
            </w:r>
            <w:r>
              <w:rPr>
                <w:rFonts w:hint="eastAsia"/>
              </w:rPr>
              <w:t>次业务培训</w:t>
            </w:r>
          </w:p>
        </w:tc>
        <w:tc>
          <w:tcPr>
            <w:tcW w:w="2551" w:type="dxa"/>
            <w:vAlign w:val="center"/>
          </w:tcPr>
          <w:p>
            <w:pPr>
              <w:pStyle w:val="30"/>
            </w:pPr>
            <w:r>
              <w:rPr>
                <w:rFonts w:hint="eastAsia"/>
              </w:rPr>
              <w:t>≥</w:t>
            </w:r>
            <w:r>
              <w:t>2</w:t>
            </w:r>
            <w:r>
              <w:rPr>
                <w:rFonts w:hint="eastAsia"/>
              </w:rPr>
              <w:t>次</w:t>
            </w:r>
          </w:p>
        </w:tc>
        <w:tc>
          <w:tcPr>
            <w:tcW w:w="2268" w:type="dxa"/>
            <w:vAlign w:val="center"/>
          </w:tcPr>
          <w:p>
            <w:pPr>
              <w:pStyle w:val="30"/>
            </w:pPr>
            <w:r>
              <w:rPr>
                <w:rFonts w:hint="eastAsia"/>
              </w:rPr>
              <w:t>年度工作安排部署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rPr>
                <w:rFonts w:hint="eastAsia"/>
              </w:rPr>
              <w:t>效益指标</w:t>
            </w:r>
          </w:p>
        </w:tc>
        <w:tc>
          <w:tcPr>
            <w:tcW w:w="2268" w:type="dxa"/>
            <w:vAlign w:val="center"/>
          </w:tcPr>
          <w:p>
            <w:pPr>
              <w:pStyle w:val="30"/>
            </w:pPr>
            <w:r>
              <w:rPr>
                <w:rFonts w:hint="eastAsia"/>
              </w:rPr>
              <w:t>可持续影响指标</w:t>
            </w:r>
          </w:p>
        </w:tc>
        <w:tc>
          <w:tcPr>
            <w:tcW w:w="2835" w:type="dxa"/>
            <w:vAlign w:val="center"/>
          </w:tcPr>
          <w:p>
            <w:pPr>
              <w:pStyle w:val="30"/>
            </w:pPr>
            <w:r>
              <w:rPr>
                <w:rFonts w:hint="eastAsia"/>
              </w:rPr>
              <w:t>长期使用性</w:t>
            </w:r>
          </w:p>
        </w:tc>
        <w:tc>
          <w:tcPr>
            <w:tcW w:w="2835" w:type="dxa"/>
            <w:vAlign w:val="center"/>
          </w:tcPr>
          <w:p>
            <w:pPr>
              <w:pStyle w:val="30"/>
            </w:pPr>
            <w:r>
              <w:rPr>
                <w:rFonts w:hint="eastAsia"/>
              </w:rPr>
              <w:t>统筹使用和科学配置机构编制资源的重要抓手</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社会效益指标</w:t>
            </w:r>
          </w:p>
        </w:tc>
        <w:tc>
          <w:tcPr>
            <w:tcW w:w="2835" w:type="dxa"/>
            <w:vAlign w:val="center"/>
          </w:tcPr>
          <w:p>
            <w:pPr>
              <w:pStyle w:val="30"/>
            </w:pPr>
            <w:r>
              <w:rPr>
                <w:rFonts w:hint="eastAsia"/>
              </w:rPr>
              <w:t>数据共享</w:t>
            </w:r>
          </w:p>
        </w:tc>
        <w:tc>
          <w:tcPr>
            <w:tcW w:w="2835" w:type="dxa"/>
            <w:vAlign w:val="center"/>
          </w:tcPr>
          <w:p>
            <w:pPr>
              <w:pStyle w:val="30"/>
            </w:pPr>
            <w:r>
              <w:rPr>
                <w:rFonts w:hint="eastAsia"/>
              </w:rPr>
              <w:t>实现与组织、人事、财政部门的数据互通互享</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年度工作安排部署、《中国共产党机构编制工作条例》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rPr>
                <w:rFonts w:hint="eastAsia"/>
              </w:rPr>
              <w:t>满意度指标</w:t>
            </w:r>
          </w:p>
        </w:tc>
        <w:tc>
          <w:tcPr>
            <w:tcW w:w="2268" w:type="dxa"/>
            <w:vAlign w:val="center"/>
          </w:tcPr>
          <w:p>
            <w:pPr>
              <w:pStyle w:val="30"/>
            </w:pPr>
            <w:r>
              <w:rPr>
                <w:rFonts w:hint="eastAsia"/>
              </w:rPr>
              <w:t>服务对象满意度指标</w:t>
            </w:r>
          </w:p>
        </w:tc>
        <w:tc>
          <w:tcPr>
            <w:tcW w:w="2835" w:type="dxa"/>
            <w:vAlign w:val="center"/>
          </w:tcPr>
          <w:p>
            <w:pPr>
              <w:pStyle w:val="30"/>
            </w:pPr>
            <w:r>
              <w:rPr>
                <w:rFonts w:hint="eastAsia"/>
              </w:rPr>
              <w:t>受训人员满意度</w:t>
            </w:r>
          </w:p>
        </w:tc>
        <w:tc>
          <w:tcPr>
            <w:tcW w:w="2835" w:type="dxa"/>
            <w:vAlign w:val="center"/>
          </w:tcPr>
          <w:p>
            <w:pPr>
              <w:pStyle w:val="30"/>
            </w:pPr>
            <w:r>
              <w:rPr>
                <w:rFonts w:hint="eastAsia"/>
              </w:rPr>
              <w:t>参与调查人员满意度占总体参训人员比率</w:t>
            </w:r>
          </w:p>
        </w:tc>
        <w:tc>
          <w:tcPr>
            <w:tcW w:w="2551" w:type="dxa"/>
            <w:vAlign w:val="center"/>
          </w:tcPr>
          <w:p>
            <w:pPr>
              <w:pStyle w:val="30"/>
            </w:pPr>
            <w:r>
              <w:rPr>
                <w:rFonts w:hint="eastAsia"/>
              </w:rPr>
              <w:t>≥</w:t>
            </w:r>
            <w:r>
              <w:t>90%</w:t>
            </w:r>
          </w:p>
        </w:tc>
        <w:tc>
          <w:tcPr>
            <w:tcW w:w="2268" w:type="dxa"/>
            <w:vAlign w:val="center"/>
          </w:tcPr>
          <w:p>
            <w:pPr>
              <w:pStyle w:val="30"/>
            </w:pPr>
            <w:r>
              <w:rPr>
                <w:rFonts w:hint="eastAsia"/>
              </w:rPr>
              <w:t>满意度测评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w:t>
      </w:r>
      <w:r>
        <w:rPr>
          <w:rFonts w:hint="eastAsia" w:eastAsia="方正仿宋_GBK"/>
          <w:color w:val="000000"/>
          <w:sz w:val="28"/>
        </w:rPr>
        <w:t>年，中共衡水市委机构编制委员会办公室安排政府采购预算</w:t>
      </w:r>
      <w:r>
        <w:rPr>
          <w:rFonts w:eastAsia="方正仿宋_GBK"/>
          <w:color w:val="000000"/>
          <w:sz w:val="28"/>
        </w:rPr>
        <w:t>5.95</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8676" w:type="dxa"/>
            <w:gridSpan w:val="9"/>
            <w:tcBorders>
              <w:top w:val="single" w:color="FFFFFF" w:sz="6" w:space="0"/>
              <w:left w:val="single" w:color="FFFFFF" w:sz="6" w:space="0"/>
              <w:right w:val="single" w:color="FFFFFF" w:sz="6" w:space="0"/>
            </w:tcBorders>
            <w:vAlign w:val="center"/>
          </w:tcPr>
          <w:p>
            <w:pPr>
              <w:pStyle w:val="3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2"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rPr>
                <w:rFonts w:hint="eastAsia"/>
              </w:rPr>
              <w:t>合</w:t>
            </w:r>
            <w:r>
              <w:t xml:space="preserve">  </w:t>
            </w:r>
            <w:r>
              <w:rPr>
                <w:rFonts w:hint="eastAsia"/>
              </w:rPr>
              <w:t>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5.95</w:t>
            </w:r>
          </w:p>
        </w:tc>
        <w:tc>
          <w:tcPr>
            <w:tcW w:w="964" w:type="dxa"/>
            <w:vAlign w:val="center"/>
          </w:tcPr>
          <w:p>
            <w:pPr>
              <w:pStyle w:val="19"/>
            </w:pPr>
            <w:r>
              <w:t>5.95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rPr>
                <w:rFonts w:hint="eastAsia"/>
              </w:rPr>
              <w:t>中共衡水市委机构编制委员会办公室本级小计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5.95</w:t>
            </w:r>
          </w:p>
        </w:tc>
        <w:tc>
          <w:tcPr>
            <w:tcW w:w="964" w:type="dxa"/>
            <w:vAlign w:val="center"/>
          </w:tcPr>
          <w:p>
            <w:pPr>
              <w:pStyle w:val="19"/>
            </w:pPr>
            <w:r>
              <w:t>5.95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台式计算机</w:t>
            </w:r>
          </w:p>
        </w:tc>
        <w:tc>
          <w:tcPr>
            <w:tcW w:w="1134" w:type="dxa"/>
            <w:vAlign w:val="center"/>
          </w:tcPr>
          <w:p>
            <w:pPr>
              <w:pStyle w:val="16"/>
            </w:pPr>
            <w:r>
              <w:t>A02010104</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便携式计算机</w:t>
            </w:r>
          </w:p>
        </w:tc>
        <w:tc>
          <w:tcPr>
            <w:tcW w:w="1134" w:type="dxa"/>
            <w:vAlign w:val="center"/>
          </w:tcPr>
          <w:p>
            <w:pPr>
              <w:pStyle w:val="16"/>
            </w:pPr>
            <w:r>
              <w:t>A02010105</w:t>
            </w:r>
          </w:p>
        </w:tc>
        <w:tc>
          <w:tcPr>
            <w:tcW w:w="709" w:type="dxa"/>
            <w:vAlign w:val="center"/>
          </w:tcPr>
          <w:p>
            <w:pPr>
              <w:pStyle w:val="17"/>
            </w:pPr>
            <w:r>
              <w:rPr>
                <w:rFonts w:hint="eastAsia"/>
              </w:rP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激光打印机</w:t>
            </w:r>
          </w:p>
        </w:tc>
        <w:tc>
          <w:tcPr>
            <w:tcW w:w="1134" w:type="dxa"/>
            <w:vAlign w:val="center"/>
          </w:tcPr>
          <w:p>
            <w:pPr>
              <w:pStyle w:val="16"/>
            </w:pPr>
            <w:r>
              <w:t>A0201060102</w:t>
            </w:r>
          </w:p>
        </w:tc>
        <w:tc>
          <w:tcPr>
            <w:tcW w:w="709" w:type="dxa"/>
            <w:vAlign w:val="center"/>
          </w:tcPr>
          <w:p>
            <w:pPr>
              <w:pStyle w:val="17"/>
            </w:pPr>
            <w:r>
              <w:rPr>
                <w:rFonts w:hint="eastAsia"/>
              </w:rP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激光打印机</w:t>
            </w:r>
          </w:p>
        </w:tc>
        <w:tc>
          <w:tcPr>
            <w:tcW w:w="1134" w:type="dxa"/>
            <w:vAlign w:val="center"/>
          </w:tcPr>
          <w:p>
            <w:pPr>
              <w:pStyle w:val="16"/>
            </w:pPr>
            <w:r>
              <w:t>A0201060102</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0.65</w:t>
            </w:r>
          </w:p>
        </w:tc>
        <w:tc>
          <w:tcPr>
            <w:tcW w:w="964" w:type="dxa"/>
            <w:vAlign w:val="center"/>
          </w:tcPr>
          <w:p>
            <w:pPr>
              <w:pStyle w:val="15"/>
            </w:pPr>
            <w:r>
              <w:t>0.65</w:t>
            </w:r>
          </w:p>
        </w:tc>
        <w:tc>
          <w:tcPr>
            <w:tcW w:w="964" w:type="dxa"/>
            <w:vAlign w:val="center"/>
          </w:tcPr>
          <w:p>
            <w:pPr>
              <w:pStyle w:val="15"/>
            </w:pPr>
            <w:r>
              <w:t>0.65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多功能一体机</w:t>
            </w:r>
          </w:p>
        </w:tc>
        <w:tc>
          <w:tcPr>
            <w:tcW w:w="1134" w:type="dxa"/>
            <w:vAlign w:val="center"/>
          </w:tcPr>
          <w:p>
            <w:pPr>
              <w:pStyle w:val="16"/>
            </w:pPr>
            <w:r>
              <w:t>A020204</w:t>
            </w:r>
          </w:p>
        </w:tc>
        <w:tc>
          <w:tcPr>
            <w:tcW w:w="709" w:type="dxa"/>
            <w:vAlign w:val="center"/>
          </w:tcPr>
          <w:p>
            <w:pPr>
              <w:pStyle w:val="17"/>
            </w:pPr>
            <w:r>
              <w:rPr>
                <w:rFonts w:hint="eastAsia"/>
              </w:rP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机构编制管理工作经费</w:t>
            </w:r>
          </w:p>
        </w:tc>
        <w:tc>
          <w:tcPr>
            <w:tcW w:w="964" w:type="dxa"/>
            <w:vAlign w:val="center"/>
          </w:tcPr>
          <w:p>
            <w:pPr>
              <w:pStyle w:val="15"/>
            </w:pPr>
            <w:r>
              <w:t>33.00</w:t>
            </w:r>
          </w:p>
        </w:tc>
        <w:tc>
          <w:tcPr>
            <w:tcW w:w="1134" w:type="dxa"/>
            <w:vAlign w:val="center"/>
          </w:tcPr>
          <w:p>
            <w:pPr>
              <w:pStyle w:val="16"/>
            </w:pPr>
            <w:r>
              <w:rPr>
                <w:rFonts w:hint="eastAsia"/>
              </w:rPr>
              <w:t>金属质柜类</w:t>
            </w:r>
          </w:p>
        </w:tc>
        <w:tc>
          <w:tcPr>
            <w:tcW w:w="1134" w:type="dxa"/>
            <w:vAlign w:val="center"/>
          </w:tcPr>
          <w:p>
            <w:pPr>
              <w:pStyle w:val="16"/>
            </w:pPr>
            <w:r>
              <w:t>A060503</w:t>
            </w:r>
          </w:p>
        </w:tc>
        <w:tc>
          <w:tcPr>
            <w:tcW w:w="709" w:type="dxa"/>
            <w:vAlign w:val="center"/>
          </w:tcPr>
          <w:p>
            <w:pPr>
              <w:pStyle w:val="17"/>
            </w:pPr>
            <w:r>
              <w:rPr>
                <w:rFonts w:hint="eastAsia"/>
              </w:rPr>
              <w:t>组</w:t>
            </w:r>
          </w:p>
        </w:tc>
        <w:tc>
          <w:tcPr>
            <w:tcW w:w="850" w:type="dxa"/>
            <w:vAlign w:val="center"/>
          </w:tcPr>
          <w:p>
            <w:pPr>
              <w:pStyle w:val="15"/>
            </w:pPr>
            <w:r>
              <w:t>3</w:t>
            </w:r>
          </w:p>
        </w:tc>
        <w:tc>
          <w:tcPr>
            <w:tcW w:w="850" w:type="dxa"/>
            <w:vAlign w:val="center"/>
          </w:tcPr>
          <w:p>
            <w:pPr>
              <w:pStyle w:val="15"/>
            </w:pPr>
            <w:r>
              <w:t>0.10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机构编制统计和实名制管理工作经费</w:t>
            </w:r>
          </w:p>
        </w:tc>
        <w:tc>
          <w:tcPr>
            <w:tcW w:w="964" w:type="dxa"/>
            <w:vAlign w:val="center"/>
          </w:tcPr>
          <w:p>
            <w:pPr>
              <w:pStyle w:val="15"/>
            </w:pPr>
            <w:r>
              <w:t>7.00</w:t>
            </w:r>
          </w:p>
        </w:tc>
        <w:tc>
          <w:tcPr>
            <w:tcW w:w="1134" w:type="dxa"/>
            <w:vAlign w:val="center"/>
          </w:tcPr>
          <w:p>
            <w:pPr>
              <w:pStyle w:val="16"/>
            </w:pPr>
            <w:r>
              <w:rPr>
                <w:rFonts w:hint="eastAsia"/>
              </w:rPr>
              <w:t>其他计算机设备及软件</w:t>
            </w:r>
          </w:p>
        </w:tc>
        <w:tc>
          <w:tcPr>
            <w:tcW w:w="1134" w:type="dxa"/>
            <w:vAlign w:val="center"/>
          </w:tcPr>
          <w:p>
            <w:pPr>
              <w:pStyle w:val="16"/>
            </w:pPr>
            <w:r>
              <w:t>A020199</w:t>
            </w:r>
          </w:p>
        </w:tc>
        <w:tc>
          <w:tcPr>
            <w:tcW w:w="709" w:type="dxa"/>
            <w:vAlign w:val="center"/>
          </w:tcPr>
          <w:p>
            <w:pPr>
              <w:pStyle w:val="17"/>
            </w:pPr>
            <w:r>
              <w:rPr>
                <w:rFonts w:hint="eastAsia"/>
              </w:rPr>
              <w:t>套</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rPr>
                <w:rFonts w:hint="eastAsia"/>
              </w:rPr>
              <w:t>机构编制统计和实名制管理工作经费</w:t>
            </w:r>
          </w:p>
        </w:tc>
        <w:tc>
          <w:tcPr>
            <w:tcW w:w="964" w:type="dxa"/>
            <w:vAlign w:val="center"/>
          </w:tcPr>
          <w:p>
            <w:pPr>
              <w:pStyle w:val="15"/>
            </w:pPr>
            <w:r>
              <w:t>7.00</w:t>
            </w:r>
          </w:p>
        </w:tc>
        <w:tc>
          <w:tcPr>
            <w:tcW w:w="1134" w:type="dxa"/>
            <w:vAlign w:val="center"/>
          </w:tcPr>
          <w:p>
            <w:pPr>
              <w:pStyle w:val="16"/>
            </w:pPr>
            <w:r>
              <w:rPr>
                <w:rFonts w:hint="eastAsia"/>
              </w:rPr>
              <w:t>金属质柜类</w:t>
            </w:r>
          </w:p>
        </w:tc>
        <w:tc>
          <w:tcPr>
            <w:tcW w:w="1134" w:type="dxa"/>
            <w:vAlign w:val="center"/>
          </w:tcPr>
          <w:p>
            <w:pPr>
              <w:pStyle w:val="16"/>
            </w:pPr>
            <w:r>
              <w:t>A060503</w:t>
            </w:r>
          </w:p>
        </w:tc>
        <w:tc>
          <w:tcPr>
            <w:tcW w:w="709" w:type="dxa"/>
            <w:vAlign w:val="center"/>
          </w:tcPr>
          <w:p>
            <w:pPr>
              <w:pStyle w:val="17"/>
            </w:pPr>
            <w:r>
              <w:rPr>
                <w:rFonts w:hint="eastAsia"/>
              </w:rPr>
              <w:t>组</w:t>
            </w:r>
          </w:p>
        </w:tc>
        <w:tc>
          <w:tcPr>
            <w:tcW w:w="850" w:type="dxa"/>
            <w:vAlign w:val="center"/>
          </w:tcPr>
          <w:p>
            <w:pPr>
              <w:pStyle w:val="15"/>
            </w:pPr>
            <w:r>
              <w:t>5</w:t>
            </w:r>
          </w:p>
        </w:tc>
        <w:tc>
          <w:tcPr>
            <w:tcW w:w="850" w:type="dxa"/>
            <w:vAlign w:val="center"/>
          </w:tcPr>
          <w:p>
            <w:pPr>
              <w:pStyle w:val="15"/>
            </w:pPr>
            <w:r>
              <w:t>0.10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pPr>
      <w:r>
        <w:rPr>
          <w:rFonts w:hint="eastAsia" w:eastAsia="方正仿宋_GBK"/>
          <w:color w:val="000000"/>
          <w:sz w:val="28"/>
        </w:rPr>
        <w:t>中共衡水市委机构编制委员会办公室（含所属单位）上年末固定资产金额为</w:t>
      </w:r>
      <w:r>
        <w:rPr>
          <w:rFonts w:hint="eastAsia" w:eastAsia="方正仿宋_GBK"/>
          <w:color w:val="000000"/>
          <w:sz w:val="28"/>
          <w:lang w:eastAsia="zh-CN"/>
        </w:rPr>
        <w:t>138.98</w:t>
      </w:r>
      <w:r>
        <w:rPr>
          <w:rFonts w:hint="eastAsia" w:eastAsia="方正仿宋_GBK"/>
          <w:color w:val="000000"/>
          <w:sz w:val="28"/>
        </w:rPr>
        <w:t>万元（详见下表）。本年度拟购置固定资产总额为</w:t>
      </w:r>
      <w:r>
        <w:rPr>
          <w:rFonts w:hint="eastAsia" w:eastAsia="方正仿宋_GBK"/>
          <w:color w:val="000000"/>
          <w:sz w:val="28"/>
          <w:lang w:eastAsia="zh-CN"/>
        </w:rPr>
        <w:t>5.95</w:t>
      </w:r>
      <w:r>
        <w:rPr>
          <w:rFonts w:hint="eastAsia"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部门固定资产占用情况表</w:t>
      </w:r>
    </w:p>
    <w:tbl>
      <w:tblPr>
        <w:tblStyle w:val="8"/>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225</w:t>
            </w:r>
            <w:r>
              <w:rPr>
                <w:rFonts w:hint="eastAsia"/>
              </w:rPr>
              <w:t>中共衡水市委机构编制委员会办公室</w:t>
            </w:r>
          </w:p>
        </w:tc>
        <w:tc>
          <w:tcPr>
            <w:tcW w:w="5670"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资产总额</w:t>
            </w:r>
          </w:p>
        </w:tc>
        <w:tc>
          <w:tcPr>
            <w:tcW w:w="2835" w:type="dxa"/>
            <w:vAlign w:val="center"/>
          </w:tcPr>
          <w:p>
            <w:pPr>
              <w:pStyle w:val="17"/>
              <w:rPr>
                <w:lang w:eastAsia="zh-CN"/>
              </w:rPr>
            </w:pPr>
            <w:r>
              <w:rPr>
                <w:rFonts w:hint="eastAsia"/>
                <w:lang w:eastAsia="zh-CN"/>
              </w:rPr>
              <w:t>276</w:t>
            </w:r>
          </w:p>
        </w:tc>
        <w:tc>
          <w:tcPr>
            <w:tcW w:w="2835" w:type="dxa"/>
            <w:vAlign w:val="center"/>
          </w:tcPr>
          <w:p>
            <w:pPr>
              <w:pStyle w:val="15"/>
              <w:rPr>
                <w:lang w:eastAsia="zh-CN"/>
              </w:rPr>
            </w:pPr>
            <w:r>
              <w:rPr>
                <w:rFonts w:hint="eastAsia"/>
                <w:lang w:eastAsia="zh-CN"/>
              </w:rPr>
              <w:t>138.98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 xml:space="preserve">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2、车辆（台、辆）</w:t>
            </w:r>
          </w:p>
        </w:tc>
        <w:tc>
          <w:tcPr>
            <w:tcW w:w="2835" w:type="dxa"/>
            <w:vAlign w:val="center"/>
          </w:tcPr>
          <w:p>
            <w:pPr>
              <w:pStyle w:val="17"/>
              <w:rPr>
                <w:lang w:eastAsia="zh-CN"/>
              </w:rPr>
            </w:pPr>
            <w:r>
              <w:rPr>
                <w:rFonts w:hint="eastAsia"/>
                <w:lang w:eastAsia="zh-CN"/>
              </w:rPr>
              <w:t>1</w:t>
            </w:r>
          </w:p>
        </w:tc>
        <w:tc>
          <w:tcPr>
            <w:tcW w:w="2835" w:type="dxa"/>
            <w:vAlign w:val="center"/>
          </w:tcPr>
          <w:p>
            <w:pPr>
              <w:pStyle w:val="15"/>
              <w:rPr>
                <w:lang w:eastAsia="zh-CN"/>
              </w:rPr>
            </w:pPr>
            <w:r>
              <w:rPr>
                <w:rFonts w:hint="eastAsia"/>
                <w:lang w:eastAsia="zh-CN"/>
              </w:rPr>
              <w:t>13.38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rPr>
                <w:lang w:eastAsia="zh-CN"/>
              </w:rPr>
            </w:pPr>
            <w:r>
              <w:rPr>
                <w:rFonts w:hint="eastAsia"/>
                <w:lang w:eastAsia="zh-CN"/>
              </w:rPr>
              <w:t>4、其他固定资产</w:t>
            </w:r>
          </w:p>
        </w:tc>
        <w:tc>
          <w:tcPr>
            <w:tcW w:w="2835" w:type="dxa"/>
            <w:vAlign w:val="center"/>
          </w:tcPr>
          <w:p>
            <w:pPr>
              <w:pStyle w:val="17"/>
              <w:rPr>
                <w:lang w:eastAsia="zh-CN"/>
              </w:rPr>
            </w:pPr>
            <w:r>
              <w:rPr>
                <w:rFonts w:hint="eastAsia"/>
                <w:lang w:eastAsia="zh-CN"/>
              </w:rPr>
              <w:t>275</w:t>
            </w:r>
          </w:p>
        </w:tc>
        <w:tc>
          <w:tcPr>
            <w:tcW w:w="2835" w:type="dxa"/>
            <w:vAlign w:val="center"/>
          </w:tcPr>
          <w:p>
            <w:pPr>
              <w:pStyle w:val="15"/>
              <w:rPr>
                <w:lang w:eastAsia="zh-CN"/>
              </w:rPr>
            </w:pPr>
            <w:r>
              <w:rPr>
                <w:rFonts w:hint="eastAsia"/>
                <w:lang w:eastAsia="zh-CN"/>
              </w:rPr>
              <w:t>125.60</w:t>
            </w:r>
          </w:p>
        </w:tc>
      </w:tr>
    </w:tbl>
    <w:p>
      <w:pPr>
        <w:ind w:firstLine="640"/>
        <w:rPr>
          <w:lang w:eastAsia="zh-CN"/>
        </w:rPr>
      </w:pPr>
    </w:p>
    <w:p>
      <w:pPr>
        <w:spacing w:before="10" w:after="10"/>
        <w:ind w:firstLine="640"/>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市</w:t>
      </w:r>
      <w:r>
        <w:rPr>
          <w:rFonts w:hint="eastAsia"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rPr>
          <w:lang w:eastAsia="zh-CN"/>
        </w:rPr>
        <w:sectPr>
          <w:pgSz w:w="16840" w:h="11900" w:orient="landscape"/>
          <w:pgMar w:top="1361" w:right="1020" w:bottom="1134" w:left="1020" w:header="720" w:footer="720" w:gutter="0"/>
          <w:cols w:space="720" w:num="1"/>
        </w:sectPr>
      </w:pPr>
      <w:r>
        <w:rPr>
          <w:rFonts w:hint="eastAsia" w:eastAsia="方正仿宋_GBK"/>
          <w:color w:val="000000"/>
          <w:sz w:val="28"/>
        </w:rPr>
        <w:t>我部门无其他需要说明的</w:t>
      </w:r>
      <w:r>
        <w:rPr>
          <w:rFonts w:hint="eastAsia" w:eastAsia="方正仿宋_GBK"/>
          <w:color w:val="000000"/>
          <w:sz w:val="28"/>
          <w:lang w:eastAsia="zh-CN"/>
        </w:rPr>
        <w:t>事项。</w:t>
      </w:r>
    </w:p>
    <w:p>
      <w:pPr>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eastAsia="zh-CN"/>
      </w:rPr>
    </w:pPr>
    <w:r>
      <w:rPr>
        <w:rFonts w:hint="eastAsia"/>
        <w:lang w:eastAsia="zh-CN"/>
      </w:rPr>
      <w:t xml:space="preserve">                                                                                                                                                                                                                                                                                                                             1</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eastAsia="zh-CN"/>
      </w:rPr>
    </w:pPr>
    <w:r>
      <w:rPr>
        <w:rFonts w:hint="eastAsia"/>
        <w:lang w:eastAsia="zh-CN"/>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DDA"/>
    <w:rsid w:val="00052EAE"/>
    <w:rsid w:val="001668A6"/>
    <w:rsid w:val="001B0F13"/>
    <w:rsid w:val="001E33AE"/>
    <w:rsid w:val="001E4452"/>
    <w:rsid w:val="001F2D4E"/>
    <w:rsid w:val="0027460B"/>
    <w:rsid w:val="00301C9C"/>
    <w:rsid w:val="00337B2F"/>
    <w:rsid w:val="00345868"/>
    <w:rsid w:val="003D3009"/>
    <w:rsid w:val="004F355B"/>
    <w:rsid w:val="00567679"/>
    <w:rsid w:val="005D6BC2"/>
    <w:rsid w:val="0063496C"/>
    <w:rsid w:val="00774109"/>
    <w:rsid w:val="008F0F43"/>
    <w:rsid w:val="00922CD9"/>
    <w:rsid w:val="00943494"/>
    <w:rsid w:val="00AD3A70"/>
    <w:rsid w:val="00AD40A6"/>
    <w:rsid w:val="00AD67CF"/>
    <w:rsid w:val="00AE25A8"/>
    <w:rsid w:val="00AE57C1"/>
    <w:rsid w:val="00B26D5F"/>
    <w:rsid w:val="00BE7D8B"/>
    <w:rsid w:val="00C707A0"/>
    <w:rsid w:val="00C8757F"/>
    <w:rsid w:val="00C929A0"/>
    <w:rsid w:val="00C94F40"/>
    <w:rsid w:val="00D54A8A"/>
    <w:rsid w:val="00D65377"/>
    <w:rsid w:val="00DA5DDA"/>
    <w:rsid w:val="00E26E10"/>
    <w:rsid w:val="00E421CE"/>
    <w:rsid w:val="00EF46B4"/>
    <w:rsid w:val="00F859D0"/>
    <w:rsid w:val="00FA03FC"/>
    <w:rsid w:val="00FB790B"/>
    <w:rsid w:val="00FF20F6"/>
    <w:rsid w:val="25344642"/>
    <w:rsid w:val="60E036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link w:val="38"/>
    <w:unhideWhenUsed/>
    <w:uiPriority w:val="99"/>
    <w:pPr>
      <w:tabs>
        <w:tab w:val="center" w:pos="4153"/>
        <w:tab w:val="right" w:pos="8306"/>
      </w:tabs>
      <w:snapToGrid w:val="0"/>
    </w:pPr>
    <w:rPr>
      <w:sz w:val="18"/>
      <w:szCs w:val="18"/>
    </w:rPr>
  </w:style>
  <w:style w:type="paragraph" w:styleId="4">
    <w:name w:val="header"/>
    <w:basedOn w:val="1"/>
    <w:link w:val="37"/>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99"/>
    <w:pPr>
      <w:spacing w:before="120"/>
      <w:ind w:firstLine="560"/>
    </w:pPr>
    <w:rPr>
      <w:rFonts w:eastAsia="方正仿宋_GBK"/>
      <w:color w:val="000000"/>
      <w:sz w:val="28"/>
    </w:rPr>
  </w:style>
  <w:style w:type="paragraph" w:styleId="6">
    <w:name w:val="toc 4"/>
    <w:basedOn w:val="1"/>
    <w:next w:val="1"/>
    <w:uiPriority w:val="99"/>
    <w:pPr>
      <w:ind w:left="720"/>
    </w:pPr>
  </w:style>
  <w:style w:type="paragraph" w:styleId="7">
    <w:name w:val="toc 2"/>
    <w:basedOn w:val="1"/>
    <w:next w:val="1"/>
    <w:uiPriority w:val="99"/>
    <w:pPr>
      <w:ind w:left="240"/>
    </w:pPr>
  </w:style>
  <w:style w:type="table" w:styleId="9">
    <w:name w:val="Table Grid"/>
    <w:basedOn w:val="8"/>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单元格样式22"/>
    <w:basedOn w:val="1"/>
    <w:uiPriority w:val="99"/>
    <w:pPr>
      <w:jc w:val="right"/>
    </w:pPr>
    <w:rPr>
      <w:rFonts w:ascii="方正小标宋_GBK" w:hAnsi="方正小标宋_GBK" w:eastAsia="方正小标宋_GBK" w:cs="方正小标宋_GBK"/>
    </w:rPr>
  </w:style>
  <w:style w:type="paragraph" w:customStyle="1" w:styleId="12">
    <w:name w:val="单元格样式21"/>
    <w:basedOn w:val="1"/>
    <w:uiPriority w:val="99"/>
    <w:pPr>
      <w:jc w:val="center"/>
    </w:pPr>
    <w:rPr>
      <w:rFonts w:ascii="方正小标宋_GBK" w:hAnsi="方正小标宋_GBK" w:eastAsia="方正小标宋_GBK" w:cs="方正小标宋_GBK"/>
    </w:rPr>
  </w:style>
  <w:style w:type="paragraph" w:customStyle="1" w:styleId="13">
    <w:name w:val="单元格样式20"/>
    <w:basedOn w:val="1"/>
    <w:uiPriority w:val="99"/>
    <w:rPr>
      <w:rFonts w:ascii="方正小标宋_GBK" w:hAnsi="方正小标宋_GBK" w:eastAsia="方正小标宋_GBK" w:cs="方正小标宋_GBK"/>
    </w:rPr>
  </w:style>
  <w:style w:type="paragraph" w:customStyle="1" w:styleId="14">
    <w:name w:val="单元格样式1"/>
    <w:basedOn w:val="1"/>
    <w:uiPriority w:val="99"/>
    <w:pPr>
      <w:jc w:val="center"/>
    </w:pPr>
    <w:rPr>
      <w:rFonts w:ascii="方正书宋_GBK" w:hAnsi="方正书宋_GBK" w:eastAsia="方正书宋_GBK" w:cs="方正书宋_GBK"/>
      <w:b/>
      <w:sz w:val="21"/>
    </w:rPr>
  </w:style>
  <w:style w:type="paragraph" w:customStyle="1" w:styleId="15">
    <w:name w:val="单元格样式4"/>
    <w:basedOn w:val="1"/>
    <w:uiPriority w:val="99"/>
    <w:pPr>
      <w:jc w:val="right"/>
    </w:pPr>
    <w:rPr>
      <w:rFonts w:ascii="方正书宋_GBK" w:hAnsi="方正书宋_GBK" w:eastAsia="方正书宋_GBK" w:cs="方正书宋_GBK"/>
      <w:sz w:val="21"/>
    </w:rPr>
  </w:style>
  <w:style w:type="paragraph" w:customStyle="1" w:styleId="16">
    <w:name w:val="单元格样式2"/>
    <w:basedOn w:val="1"/>
    <w:uiPriority w:val="99"/>
    <w:rPr>
      <w:rFonts w:ascii="方正书宋_GBK" w:hAnsi="方正书宋_GBK" w:eastAsia="方正书宋_GBK" w:cs="方正书宋_GBK"/>
      <w:sz w:val="21"/>
    </w:rPr>
  </w:style>
  <w:style w:type="paragraph" w:customStyle="1" w:styleId="17">
    <w:name w:val="单元格样式3"/>
    <w:basedOn w:val="1"/>
    <w:uiPriority w:val="99"/>
    <w:pPr>
      <w:jc w:val="center"/>
    </w:pPr>
    <w:rPr>
      <w:rFonts w:ascii="方正书宋_GBK" w:hAnsi="方正书宋_GBK" w:eastAsia="方正书宋_GBK" w:cs="方正书宋_GBK"/>
      <w:sz w:val="21"/>
    </w:rPr>
  </w:style>
  <w:style w:type="paragraph" w:customStyle="1" w:styleId="18">
    <w:name w:val="单元格样式6"/>
    <w:basedOn w:val="1"/>
    <w:uiPriority w:val="99"/>
    <w:pPr>
      <w:jc w:val="center"/>
    </w:pPr>
    <w:rPr>
      <w:rFonts w:ascii="方正书宋_GBK" w:hAnsi="方正书宋_GBK" w:eastAsia="方正书宋_GBK" w:cs="方正书宋_GBK"/>
      <w:b/>
      <w:sz w:val="21"/>
    </w:rPr>
  </w:style>
  <w:style w:type="paragraph" w:customStyle="1" w:styleId="19">
    <w:name w:val="单元格样式7"/>
    <w:basedOn w:val="1"/>
    <w:uiPriority w:val="99"/>
    <w:pPr>
      <w:jc w:val="right"/>
    </w:pPr>
    <w:rPr>
      <w:rFonts w:ascii="方正书宋_GBK" w:hAnsi="方正书宋_GBK" w:eastAsia="方正书宋_GBK" w:cs="方正书宋_GBK"/>
      <w:b/>
      <w:sz w:val="21"/>
    </w:rPr>
  </w:style>
  <w:style w:type="paragraph" w:customStyle="1" w:styleId="20">
    <w:name w:val="单元格样式5"/>
    <w:basedOn w:val="1"/>
    <w:uiPriority w:val="99"/>
    <w:rPr>
      <w:rFonts w:ascii="方正书宋_GBK" w:hAnsi="方正书宋_GBK" w:eastAsia="方正书宋_GBK" w:cs="方正书宋_GBK"/>
      <w:b/>
      <w:sz w:val="21"/>
    </w:rPr>
  </w:style>
  <w:style w:type="paragraph" w:customStyle="1" w:styleId="21">
    <w:name w:val="插入文本样式-插入部门职责文件"/>
    <w:basedOn w:val="1"/>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5">
    <w:name w:val="插入文本样式-插入总体目标文件"/>
    <w:basedOn w:val="1"/>
    <w:uiPriority w:val="99"/>
    <w:pPr>
      <w:spacing w:line="500" w:lineRule="exact"/>
      <w:ind w:firstLine="560"/>
    </w:pPr>
    <w:rPr>
      <w:rFonts w:eastAsia="方正仿宋_GBK"/>
      <w:sz w:val="28"/>
    </w:rPr>
  </w:style>
  <w:style w:type="paragraph" w:customStyle="1" w:styleId="26">
    <w:name w:val="插入文本样式-插入职责分类绩效目标文件"/>
    <w:basedOn w:val="1"/>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8">
    <w:name w:val="Normal_b45fb584-b46e-4a0f-b081-81f77a64aefc"/>
    <w:uiPriority w:val="99"/>
    <w:rPr>
      <w:rFonts w:ascii="Times New Roman" w:hAnsi="Times New Roman" w:eastAsia="宋体" w:cs="Times New Roman"/>
      <w:sz w:val="24"/>
      <w:szCs w:val="24"/>
      <w:lang w:val="en-US" w:eastAsia="uk-UA" w:bidi="ar-SA"/>
    </w:rPr>
  </w:style>
  <w:style w:type="paragraph" w:customStyle="1" w:styleId="29">
    <w:name w:val="单元格样式1_9a7dcc63-a69b-49d7-bb9f-d5b5c9e3b283"/>
    <w:basedOn w:val="1"/>
    <w:uiPriority w:val="99"/>
    <w:pPr>
      <w:jc w:val="center"/>
    </w:pPr>
    <w:rPr>
      <w:rFonts w:ascii="方正书宋_GBK" w:hAnsi="方正书宋_GBK" w:eastAsia="方正书宋_GBK" w:cs="方正书宋_GBK"/>
      <w:b/>
      <w:sz w:val="21"/>
    </w:rPr>
  </w:style>
  <w:style w:type="paragraph" w:customStyle="1" w:styleId="30">
    <w:name w:val="单元格样式2_2759d09d-180c-480b-b9be-cb489c54ff96"/>
    <w:basedOn w:val="1"/>
    <w:uiPriority w:val="99"/>
    <w:rPr>
      <w:rFonts w:ascii="方正书宋_GBK" w:hAnsi="方正书宋_GBK" w:eastAsia="方正书宋_GBK" w:cs="方正书宋_GBK"/>
      <w:sz w:val="21"/>
    </w:rPr>
  </w:style>
  <w:style w:type="paragraph" w:customStyle="1" w:styleId="31">
    <w:name w:val="单元格样式3_a87089aa-9c48-41a3-a9ff-c13f99a39a1a"/>
    <w:basedOn w:val="1"/>
    <w:uiPriority w:val="99"/>
    <w:pPr>
      <w:jc w:val="center"/>
    </w:pPr>
    <w:rPr>
      <w:rFonts w:ascii="方正书宋_GBK" w:hAnsi="方正书宋_GBK" w:eastAsia="方正书宋_GBK" w:cs="方正书宋_GBK"/>
      <w:sz w:val="21"/>
    </w:rPr>
  </w:style>
  <w:style w:type="paragraph" w:customStyle="1" w:styleId="32">
    <w:name w:val="单元格样式23"/>
    <w:basedOn w:val="1"/>
    <w:uiPriority w:val="99"/>
    <w:pPr>
      <w:jc w:val="right"/>
    </w:pPr>
    <w:rPr>
      <w:rFonts w:ascii="方正书宋_GBK" w:hAnsi="方正书宋_GBK" w:eastAsia="方正书宋_GBK" w:cs="方正书宋_GBK"/>
    </w:rPr>
  </w:style>
  <w:style w:type="paragraph" w:customStyle="1" w:styleId="33">
    <w:name w:val="插入文本样式-插入单位职责文件"/>
    <w:basedOn w:val="1"/>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 w:type="character" w:customStyle="1" w:styleId="37">
    <w:name w:val="页眉 Char"/>
    <w:link w:val="4"/>
    <w:uiPriority w:val="99"/>
    <w:rPr>
      <w:sz w:val="18"/>
      <w:szCs w:val="18"/>
      <w:lang w:eastAsia="uk-UA"/>
    </w:rPr>
  </w:style>
  <w:style w:type="character" w:customStyle="1" w:styleId="38">
    <w:name w:val="页脚 Char"/>
    <w:link w:val="3"/>
    <w:uiPriority w:val="99"/>
    <w:rPr>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2126</Words>
  <Characters>12121</Characters>
  <Lines>101</Lines>
  <Paragraphs>28</Paragraphs>
  <TotalTime>108</TotalTime>
  <ScaleCrop>false</ScaleCrop>
  <LinksUpToDate>false</LinksUpToDate>
  <CharactersWithSpaces>14219</CharactersWithSpaces>
  <Application>WPS Office_11.8.2.8696_F1E327BC-269C-435d-A152-05C5408002CA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2022-01-29T01:45:00Z</dcterms:created>
  <dc:creator>lenovo</dc:creator>
  <cp:lastModifiedBy>lenovo</cp:lastModifiedBy>
  <dcterms:modified xsi:type="dcterms:W3CDTF">2023-08-24T01:33:49Z</dcterms:modified>
  <dc:title>2022年部门预算信息公开目录</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